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A6F1" w14:textId="77777777" w:rsidR="00AE009D" w:rsidRPr="00AE009D" w:rsidRDefault="00AE009D" w:rsidP="00AE009D">
      <w:pPr>
        <w:spacing w:before="100" w:beforeAutospacing="1" w:after="100" w:afterAutospacing="1"/>
        <w:outlineLvl w:val="2"/>
        <w:rPr>
          <w:rFonts w:ascii="-webkit-standard" w:eastAsia="Times New Roman" w:hAnsi="-webkit-standard" w:cs="Times New Roman"/>
          <w:b/>
          <w:bCs/>
          <w:color w:val="000000"/>
          <w:sz w:val="27"/>
          <w:szCs w:val="27"/>
          <w:lang w:eastAsia="en-GB"/>
        </w:rPr>
      </w:pPr>
      <w:r w:rsidRPr="00AE009D">
        <w:rPr>
          <w:rFonts w:ascii="-webkit-standard" w:eastAsia="Times New Roman" w:hAnsi="-webkit-standard" w:cs="Times New Roman"/>
          <w:b/>
          <w:bCs/>
          <w:color w:val="000000"/>
          <w:sz w:val="27"/>
          <w:szCs w:val="27"/>
          <w:lang w:eastAsia="en-GB"/>
        </w:rPr>
        <w:t>Nakama Group Plc</w:t>
      </w:r>
    </w:p>
    <w:p w14:paraId="3F0667C8" w14:textId="77777777" w:rsidR="00AE009D" w:rsidRPr="00AE009D" w:rsidRDefault="00AE009D" w:rsidP="00AE009D">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AE009D">
        <w:rPr>
          <w:rFonts w:ascii="-webkit-standard" w:eastAsia="Times New Roman" w:hAnsi="-webkit-standard" w:cs="Times New Roman"/>
          <w:b/>
          <w:bCs/>
          <w:color w:val="000000"/>
          <w:sz w:val="36"/>
          <w:szCs w:val="36"/>
          <w:lang w:eastAsia="en-GB"/>
        </w:rPr>
        <w:t>Half-year Report</w:t>
      </w:r>
    </w:p>
    <w:p w14:paraId="73C843C9" w14:textId="13C1D150" w:rsidR="00AE009D" w:rsidRPr="00AE009D" w:rsidRDefault="00AE009D" w:rsidP="00AE009D">
      <w:pPr>
        <w:rPr>
          <w:rFonts w:ascii="-webkit-standard" w:eastAsia="Times New Roman" w:hAnsi="-webkit-standard" w:cs="Times New Roman"/>
          <w:color w:val="000000"/>
          <w:lang w:eastAsia="en-GB"/>
        </w:rPr>
      </w:pPr>
      <w:r w:rsidRPr="00AE009D">
        <w:rPr>
          <w:rFonts w:ascii="-webkit-standard" w:eastAsia="Times New Roman" w:hAnsi="-webkit-standard" w:cs="Times New Roman"/>
          <w:color w:val="000000"/>
          <w:lang w:eastAsia="en-GB"/>
        </w:rPr>
        <w:fldChar w:fldCharType="begin"/>
      </w:r>
      <w:r w:rsidRPr="00AE009D">
        <w:rPr>
          <w:rFonts w:ascii="-webkit-standard" w:eastAsia="Times New Roman" w:hAnsi="-webkit-standard" w:cs="Times New Roman"/>
          <w:color w:val="000000"/>
          <w:lang w:eastAsia="en-GB"/>
        </w:rPr>
        <w:instrText xml:space="preserve"> INCLUDEPICTURE "/var/folders/_7/g7fftb3s5q5gn5893w75f90m0000gn/T/com.microsoft.Word/WebArchiveCopyPasteTempFiles/3812924_c9454c56d48e843be9b5750e7410a3d9.png" \* MERGEFORMATINET </w:instrText>
      </w:r>
      <w:r w:rsidRPr="00AE009D">
        <w:rPr>
          <w:rFonts w:ascii="-webkit-standard" w:eastAsia="Times New Roman" w:hAnsi="-webkit-standard" w:cs="Times New Roman"/>
          <w:color w:val="000000"/>
          <w:lang w:eastAsia="en-GB"/>
        </w:rPr>
        <w:fldChar w:fldCharType="separate"/>
      </w:r>
      <w:r w:rsidRPr="00AE009D">
        <w:rPr>
          <w:rFonts w:ascii="-webkit-standard" w:eastAsia="Times New Roman" w:hAnsi="-webkit-standard" w:cs="Times New Roman"/>
          <w:noProof/>
          <w:color w:val="000000"/>
          <w:lang w:eastAsia="en-GB"/>
        </w:rPr>
        <w:drawing>
          <wp:inline distT="0" distB="0" distL="0" distR="0" wp14:anchorId="56184E1E" wp14:editId="0B2E8C1C">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AE009D">
        <w:rPr>
          <w:rFonts w:ascii="-webkit-standard" w:eastAsia="Times New Roman" w:hAnsi="-webkit-standard" w:cs="Times New Roman"/>
          <w:color w:val="000000"/>
          <w:lang w:eastAsia="en-GB"/>
        </w:rPr>
        <w:fldChar w:fldCharType="end"/>
      </w:r>
    </w:p>
    <w:p w14:paraId="64DD77F1"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RNS Number : 4597I</w:t>
      </w:r>
    </w:p>
    <w:p w14:paraId="1F4F578E"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Nakama Group Plc</w:t>
      </w:r>
    </w:p>
    <w:p w14:paraId="41DEB7DB"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14 December 2020</w:t>
      </w:r>
    </w:p>
    <w:p w14:paraId="18401B29"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 </w:t>
      </w:r>
    </w:p>
    <w:p w14:paraId="6E5EBC1F"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Prior to publication, the information contained within this announcement was deemed by the Company to constitute inside information as stipulated under the Market Abuse Regulations (EU) No. 596/2014 ("MAR"). With the publication of this announcement, this information is now considered to be in the public domain.</w:t>
      </w:r>
    </w:p>
    <w:p w14:paraId="4363F55C"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CC8AD40"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9AB607E"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EA19F82"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497120FB"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14 December 2020  </w:t>
      </w:r>
    </w:p>
    <w:p w14:paraId="140B269C"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0AD4F7F5" w14:textId="77777777" w:rsidR="00AE009D" w:rsidRPr="00AE009D" w:rsidRDefault="00AE009D" w:rsidP="00AE009D">
      <w:pPr>
        <w:jc w:val="cente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273917D8" w14:textId="77777777" w:rsidR="00AE009D" w:rsidRPr="00AE009D" w:rsidRDefault="00AE009D" w:rsidP="00AE009D">
      <w:pPr>
        <w:jc w:val="cente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545488E4" w14:textId="77777777" w:rsidR="00AE009D" w:rsidRPr="00AE009D" w:rsidRDefault="00AE009D" w:rsidP="00AE009D">
      <w:pPr>
        <w:jc w:val="cente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Nakama Group plc</w:t>
      </w:r>
    </w:p>
    <w:p w14:paraId="4A148159" w14:textId="77777777" w:rsidR="00AE009D" w:rsidRPr="00AE009D" w:rsidRDefault="00AE009D" w:rsidP="00AE009D">
      <w:pPr>
        <w:jc w:val="cente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("Nakama" or the "Group")</w:t>
      </w:r>
    </w:p>
    <w:p w14:paraId="0FB30A1A" w14:textId="77777777" w:rsidR="00AE009D" w:rsidRPr="00AE009D" w:rsidRDefault="00AE009D" w:rsidP="00AE009D">
      <w:pPr>
        <w:jc w:val="cente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629747F5" w14:textId="77777777" w:rsidR="00AE009D" w:rsidRPr="00AE009D" w:rsidRDefault="00AE009D" w:rsidP="00AE009D">
      <w:pPr>
        <w:jc w:val="cente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UNAUDITED HALF YEAR RESULTS</w:t>
      </w:r>
    </w:p>
    <w:p w14:paraId="60B06AE7" w14:textId="77777777" w:rsidR="00AE009D" w:rsidRPr="00AE009D" w:rsidRDefault="00AE009D" w:rsidP="00AE009D">
      <w:pPr>
        <w:jc w:val="cente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B020525"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Nakama Group plc (AIM: NAK), the AIM quoted recruitment consultancy working across UK and Asia, providing recruitment services for the web, interactive, digital media, IT and business change sectors, announces its half year report for the six months ended 30 September 2020.</w:t>
      </w:r>
    </w:p>
    <w:p w14:paraId="478C457E"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B52BFB9" w14:textId="77777777" w:rsidR="00AE009D" w:rsidRPr="00AE009D" w:rsidRDefault="00AE009D" w:rsidP="00AE009D">
      <w:pPr>
        <w:rPr>
          <w:rFonts w:ascii="Calibri" w:eastAsia="Times New Roman" w:hAnsi="Calibri" w:cs="Calibri"/>
          <w:b/>
          <w:bCs/>
          <w:color w:val="000000"/>
          <w:u w:val="single"/>
          <w:lang w:eastAsia="en-GB"/>
        </w:rPr>
      </w:pPr>
      <w:r w:rsidRPr="00AE009D">
        <w:rPr>
          <w:rFonts w:ascii="Arial" w:eastAsia="Times New Roman" w:hAnsi="Arial" w:cs="Arial"/>
          <w:b/>
          <w:bCs/>
          <w:color w:val="000000"/>
          <w:sz w:val="20"/>
          <w:szCs w:val="20"/>
          <w:u w:val="single"/>
          <w:lang w:eastAsia="en-GB"/>
        </w:rPr>
        <w:t>Overview</w:t>
      </w:r>
    </w:p>
    <w:p w14:paraId="60920AF3"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5DBAF819"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Calibri" w:eastAsia="Times New Roman" w:hAnsi="Calibri" w:cs="Calibri"/>
          <w:color w:val="000000"/>
          <w:lang w:eastAsia="en-GB"/>
        </w:rPr>
        <w:t> </w:t>
      </w:r>
      <w:r w:rsidRPr="00AE009D">
        <w:rPr>
          <w:rFonts w:ascii="Arial" w:eastAsia="Times New Roman" w:hAnsi="Arial" w:cs="Arial"/>
          <w:color w:val="000000"/>
          <w:sz w:val="20"/>
          <w:szCs w:val="20"/>
          <w:lang w:eastAsia="en-GB"/>
        </w:rPr>
        <w:t>The Group has experienced unprecedented trading conditions in H1 2020 due to the impact of the COVID 19 pandemic</w:t>
      </w:r>
    </w:p>
    <w:p w14:paraId="68CCBF88"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Arial" w:eastAsia="Times New Roman" w:hAnsi="Arial" w:cs="Arial"/>
          <w:color w:val="000000"/>
          <w:sz w:val="20"/>
          <w:szCs w:val="20"/>
          <w:lang w:eastAsia="en-GB"/>
        </w:rPr>
        <w:t>Net fee income ("NFI") of £0.83m (H1 2019: £1.5m)</w:t>
      </w:r>
    </w:p>
    <w:p w14:paraId="11DCA631"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Arial" w:eastAsia="Times New Roman" w:hAnsi="Arial" w:cs="Arial"/>
          <w:color w:val="000000"/>
          <w:sz w:val="20"/>
          <w:szCs w:val="20"/>
          <w:lang w:eastAsia="en-GB"/>
        </w:rPr>
        <w:t>Permanent placement revenues of £0.49m (H1 2019: £1m)</w:t>
      </w:r>
    </w:p>
    <w:p w14:paraId="58E05AD9"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Arial" w:eastAsia="Times New Roman" w:hAnsi="Arial" w:cs="Arial"/>
          <w:color w:val="000000"/>
          <w:sz w:val="20"/>
          <w:szCs w:val="20"/>
          <w:lang w:eastAsia="en-GB"/>
        </w:rPr>
        <w:t>Contractor revenues were £2.65m (H1 2019: £3.7m)</w:t>
      </w:r>
    </w:p>
    <w:p w14:paraId="320A27C0"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Arial" w:eastAsia="Times New Roman" w:hAnsi="Arial" w:cs="Arial"/>
          <w:color w:val="000000"/>
          <w:sz w:val="20"/>
          <w:szCs w:val="20"/>
          <w:lang w:eastAsia="en-GB"/>
        </w:rPr>
        <w:t>Overall headcount reduced by 31% to 27, reducing the Company's cost base</w:t>
      </w:r>
    </w:p>
    <w:p w14:paraId="4AA3C053"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 </w:t>
      </w:r>
      <w:r w:rsidRPr="00AE009D">
        <w:rPr>
          <w:rFonts w:ascii="Arial" w:eastAsia="Times New Roman" w:hAnsi="Arial" w:cs="Arial"/>
          <w:color w:val="000000"/>
          <w:sz w:val="20"/>
          <w:szCs w:val="20"/>
          <w:lang w:eastAsia="en-GB"/>
        </w:rPr>
        <w:t>Loss before tax of £99k (H1 2019: profit of £20k)</w:t>
      </w:r>
    </w:p>
    <w:p w14:paraId="07160640"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w:t>
      </w:r>
      <w:r w:rsidRPr="00AE009D">
        <w:rPr>
          <w:rFonts w:ascii="Calibri" w:eastAsia="Times New Roman" w:hAnsi="Calibri" w:cs="Calibri"/>
          <w:color w:val="000000"/>
          <w:lang w:eastAsia="en-GB"/>
        </w:rPr>
        <w:t> </w:t>
      </w:r>
      <w:r w:rsidRPr="00AE009D">
        <w:rPr>
          <w:rFonts w:ascii="Arial" w:eastAsia="Times New Roman" w:hAnsi="Arial" w:cs="Arial"/>
          <w:color w:val="000000"/>
          <w:sz w:val="20"/>
          <w:szCs w:val="20"/>
          <w:lang w:eastAsia="en-GB"/>
        </w:rPr>
        <w:t>The Group has taken advantage of various government support schemes in the UK and elsewhere but has failed to raise additional capital (debt or equity) to allow the business to continue trading in the medium term</w:t>
      </w:r>
    </w:p>
    <w:p w14:paraId="72FA6D69" w14:textId="77777777" w:rsidR="00AE009D" w:rsidRPr="00AE009D" w:rsidRDefault="00AE009D" w:rsidP="00AE009D">
      <w:pPr>
        <w:ind w:left="2160" w:hanging="360"/>
        <w:jc w:val="both"/>
        <w:rPr>
          <w:rFonts w:ascii="Calibri" w:eastAsia="Times New Roman" w:hAnsi="Calibri" w:cs="Calibri"/>
          <w:color w:val="000000"/>
          <w:lang w:eastAsia="en-GB"/>
        </w:rPr>
      </w:pPr>
      <w:r w:rsidRPr="00AE009D">
        <w:rPr>
          <w:rFonts w:ascii="Symbol" w:eastAsia="Times New Roman" w:hAnsi="Symbol" w:cs="Calibri"/>
          <w:color w:val="000000"/>
          <w:sz w:val="20"/>
          <w:szCs w:val="20"/>
          <w:lang w:eastAsia="en-GB"/>
        </w:rPr>
        <w:t>·</w:t>
      </w:r>
      <w:r w:rsidRPr="00AE009D">
        <w:rPr>
          <w:rFonts w:ascii="Calibri" w:eastAsia="Times New Roman" w:hAnsi="Calibri" w:cs="Calibri"/>
          <w:color w:val="000000"/>
          <w:lang w:eastAsia="en-GB"/>
        </w:rPr>
        <w:t> </w:t>
      </w:r>
      <w:r w:rsidRPr="00AE009D">
        <w:rPr>
          <w:rFonts w:ascii="Arial" w:eastAsia="Times New Roman" w:hAnsi="Arial" w:cs="Arial"/>
          <w:color w:val="000000"/>
          <w:sz w:val="20"/>
          <w:szCs w:val="20"/>
          <w:lang w:eastAsia="en-GB"/>
        </w:rPr>
        <w:t>Proposed sale of the Company's operating businesses to Sanderson Group announced on 9 December 2020</w:t>
      </w:r>
    </w:p>
    <w:p w14:paraId="0C443CC6"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30DC3380"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b/>
          <w:bCs/>
          <w:color w:val="000000"/>
          <w:sz w:val="20"/>
          <w:szCs w:val="20"/>
          <w:lang w:eastAsia="en-GB"/>
        </w:rPr>
        <w:t>Robert Thesiger, Chief Executive Officer of Nakama Group, commented:</w:t>
      </w:r>
      <w:r w:rsidRPr="00AE009D">
        <w:rPr>
          <w:rFonts w:ascii="Calibri" w:eastAsia="Times New Roman" w:hAnsi="Calibri" w:cs="Calibri"/>
          <w:b/>
          <w:bCs/>
          <w:color w:val="000000"/>
          <w:lang w:eastAsia="en-GB"/>
        </w:rPr>
        <w:t> </w:t>
      </w:r>
      <w:r w:rsidRPr="00AE009D">
        <w:rPr>
          <w:rFonts w:ascii="Arial" w:eastAsia="Times New Roman" w:hAnsi="Arial" w:cs="Arial"/>
          <w:color w:val="000000"/>
          <w:sz w:val="20"/>
          <w:szCs w:val="20"/>
          <w:lang w:eastAsia="en-GB"/>
        </w:rPr>
        <w:t>"2020 has been an unprecedented year with the onset of a global pandemic and as such the business has seen a marked decrease in trading across all of its geographical locations. The health and safety of all our staff and clients has been of paramount importance and I would like to thank all our staff for their sterling efforts during this time"</w:t>
      </w:r>
    </w:p>
    <w:p w14:paraId="0AB0787D"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2F0B15B9"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"On 9 December we announced the sale of our trading businesses to Sanderson and this will allow them to grow under a well-capitalised parent. I believe this disposal is in the best interests of our clients and staff.  Nakama will, should the proposed disposal be approved by shareholders, become an AIM cash shell and we will update shareholders on our plans in due course."</w:t>
      </w:r>
    </w:p>
    <w:p w14:paraId="574D2A87"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7720" w:type="dxa"/>
        <w:tblInd w:w="-108" w:type="dxa"/>
        <w:tblCellMar>
          <w:left w:w="0" w:type="dxa"/>
          <w:right w:w="0" w:type="dxa"/>
        </w:tblCellMar>
        <w:tblLook w:val="04A0" w:firstRow="1" w:lastRow="0" w:firstColumn="1" w:lastColumn="0" w:noHBand="0" w:noVBand="1"/>
      </w:tblPr>
      <w:tblGrid>
        <w:gridCol w:w="5242"/>
        <w:gridCol w:w="2478"/>
      </w:tblGrid>
      <w:tr w:rsidR="00AE009D" w:rsidRPr="00AE009D" w14:paraId="779789CC" w14:textId="77777777" w:rsidTr="00AE009D">
        <w:trPr>
          <w:trHeight w:val="300"/>
        </w:trPr>
        <w:tc>
          <w:tcPr>
            <w:tcW w:w="5044" w:type="dxa"/>
            <w:tcMar>
              <w:top w:w="0" w:type="dxa"/>
              <w:left w:w="108" w:type="dxa"/>
              <w:bottom w:w="0" w:type="dxa"/>
              <w:right w:w="108" w:type="dxa"/>
            </w:tcMar>
            <w:vAlign w:val="bottom"/>
            <w:hideMark/>
          </w:tcPr>
          <w:p w14:paraId="46657275"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3CE4BE2F"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lastRenderedPageBreak/>
              <w:t>Enquiries:</w:t>
            </w:r>
          </w:p>
          <w:p w14:paraId="2E60D616"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5401C8A2"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Nakama Group plc</w:t>
            </w:r>
          </w:p>
        </w:tc>
        <w:tc>
          <w:tcPr>
            <w:tcW w:w="2244" w:type="dxa"/>
            <w:tcMar>
              <w:top w:w="0" w:type="dxa"/>
              <w:left w:w="108" w:type="dxa"/>
              <w:bottom w:w="0" w:type="dxa"/>
              <w:right w:w="108" w:type="dxa"/>
            </w:tcMar>
            <w:vAlign w:val="bottom"/>
            <w:hideMark/>
          </w:tcPr>
          <w:p w14:paraId="637AC2F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lastRenderedPageBreak/>
              <w:t>www.nakamaglobal.com</w:t>
            </w:r>
          </w:p>
        </w:tc>
      </w:tr>
      <w:tr w:rsidR="00AE009D" w:rsidRPr="00AE009D" w14:paraId="4D344E07" w14:textId="77777777" w:rsidTr="00AE009D">
        <w:trPr>
          <w:trHeight w:val="300"/>
        </w:trPr>
        <w:tc>
          <w:tcPr>
            <w:tcW w:w="5044" w:type="dxa"/>
            <w:tcMar>
              <w:top w:w="0" w:type="dxa"/>
              <w:left w:w="108" w:type="dxa"/>
              <w:bottom w:w="0" w:type="dxa"/>
              <w:right w:w="108" w:type="dxa"/>
            </w:tcMar>
            <w:vAlign w:val="bottom"/>
            <w:hideMark/>
          </w:tcPr>
          <w:p w14:paraId="0B8E5D29"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Robert Thesiger, Chief Executive Officer</w:t>
            </w:r>
          </w:p>
        </w:tc>
        <w:tc>
          <w:tcPr>
            <w:tcW w:w="2244" w:type="dxa"/>
            <w:tcMar>
              <w:top w:w="0" w:type="dxa"/>
              <w:left w:w="108" w:type="dxa"/>
              <w:bottom w:w="0" w:type="dxa"/>
              <w:right w:w="108" w:type="dxa"/>
            </w:tcMar>
            <w:vAlign w:val="bottom"/>
            <w:hideMark/>
          </w:tcPr>
          <w:p w14:paraId="6F989FB8"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01883 341 144</w:t>
            </w:r>
          </w:p>
        </w:tc>
      </w:tr>
      <w:tr w:rsidR="00AE009D" w:rsidRPr="00AE009D" w14:paraId="566AC423" w14:textId="77777777" w:rsidTr="00AE009D">
        <w:trPr>
          <w:trHeight w:val="300"/>
        </w:trPr>
        <w:tc>
          <w:tcPr>
            <w:tcW w:w="5044" w:type="dxa"/>
            <w:tcMar>
              <w:top w:w="0" w:type="dxa"/>
              <w:left w:w="108" w:type="dxa"/>
              <w:bottom w:w="0" w:type="dxa"/>
              <w:right w:w="108" w:type="dxa"/>
            </w:tcMar>
            <w:vAlign w:val="bottom"/>
            <w:hideMark/>
          </w:tcPr>
          <w:p w14:paraId="6AA249DE"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Tim Sheffield, Chairman</w:t>
            </w:r>
          </w:p>
        </w:tc>
        <w:tc>
          <w:tcPr>
            <w:tcW w:w="2244" w:type="dxa"/>
            <w:tcMar>
              <w:top w:w="0" w:type="dxa"/>
              <w:left w:w="108" w:type="dxa"/>
              <w:bottom w:w="0" w:type="dxa"/>
              <w:right w:w="108" w:type="dxa"/>
            </w:tcMar>
            <w:vAlign w:val="bottom"/>
            <w:hideMark/>
          </w:tcPr>
          <w:p w14:paraId="6EF8B5FE"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020 7236 2400</w:t>
            </w:r>
          </w:p>
        </w:tc>
      </w:tr>
      <w:tr w:rsidR="00AE009D" w:rsidRPr="00AE009D" w14:paraId="7CAF48C7" w14:textId="77777777" w:rsidTr="00AE009D">
        <w:trPr>
          <w:trHeight w:val="300"/>
        </w:trPr>
        <w:tc>
          <w:tcPr>
            <w:tcW w:w="5044" w:type="dxa"/>
            <w:tcMar>
              <w:top w:w="0" w:type="dxa"/>
              <w:left w:w="108" w:type="dxa"/>
              <w:bottom w:w="0" w:type="dxa"/>
              <w:right w:w="108" w:type="dxa"/>
            </w:tcMar>
            <w:vAlign w:val="bottom"/>
            <w:hideMark/>
          </w:tcPr>
          <w:p w14:paraId="58F35E1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244" w:type="dxa"/>
            <w:tcMar>
              <w:top w:w="0" w:type="dxa"/>
              <w:left w:w="108" w:type="dxa"/>
              <w:bottom w:w="0" w:type="dxa"/>
              <w:right w:w="108" w:type="dxa"/>
            </w:tcMar>
            <w:vAlign w:val="bottom"/>
            <w:hideMark/>
          </w:tcPr>
          <w:p w14:paraId="0B6D570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6D50464" w14:textId="77777777" w:rsidTr="00AE009D">
        <w:trPr>
          <w:trHeight w:val="300"/>
        </w:trPr>
        <w:tc>
          <w:tcPr>
            <w:tcW w:w="5044" w:type="dxa"/>
            <w:tcMar>
              <w:top w:w="0" w:type="dxa"/>
              <w:left w:w="108" w:type="dxa"/>
              <w:bottom w:w="0" w:type="dxa"/>
              <w:right w:w="108" w:type="dxa"/>
            </w:tcMar>
            <w:vAlign w:val="bottom"/>
            <w:hideMark/>
          </w:tcPr>
          <w:p w14:paraId="6B87F9D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b/>
                <w:bCs/>
                <w:color w:val="000000"/>
                <w:sz w:val="20"/>
                <w:szCs w:val="20"/>
                <w:lang w:eastAsia="en-GB"/>
              </w:rPr>
              <w:t>Allenby Capital Limited </w:t>
            </w:r>
            <w:r w:rsidRPr="00AE009D">
              <w:rPr>
                <w:rFonts w:ascii="Arial" w:eastAsia="Times New Roman" w:hAnsi="Arial" w:cs="Arial"/>
                <w:color w:val="000000"/>
                <w:sz w:val="20"/>
                <w:szCs w:val="20"/>
                <w:lang w:eastAsia="en-GB"/>
              </w:rPr>
              <w:t>(Nominated Adviser &amp; Broker)</w:t>
            </w:r>
          </w:p>
        </w:tc>
        <w:tc>
          <w:tcPr>
            <w:tcW w:w="2244" w:type="dxa"/>
            <w:tcMar>
              <w:top w:w="0" w:type="dxa"/>
              <w:left w:w="108" w:type="dxa"/>
              <w:bottom w:w="0" w:type="dxa"/>
              <w:right w:w="108" w:type="dxa"/>
            </w:tcMar>
            <w:vAlign w:val="bottom"/>
            <w:hideMark/>
          </w:tcPr>
          <w:p w14:paraId="5A87CD1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www.allenbycapital.com</w:t>
            </w:r>
          </w:p>
        </w:tc>
      </w:tr>
      <w:tr w:rsidR="00AE009D" w:rsidRPr="00AE009D" w14:paraId="4C7BC55C" w14:textId="77777777" w:rsidTr="00AE009D">
        <w:trPr>
          <w:trHeight w:val="300"/>
        </w:trPr>
        <w:tc>
          <w:tcPr>
            <w:tcW w:w="5044" w:type="dxa"/>
            <w:tcMar>
              <w:top w:w="0" w:type="dxa"/>
              <w:left w:w="108" w:type="dxa"/>
              <w:bottom w:w="0" w:type="dxa"/>
              <w:right w:w="108" w:type="dxa"/>
            </w:tcMar>
            <w:vAlign w:val="bottom"/>
            <w:hideMark/>
          </w:tcPr>
          <w:p w14:paraId="551639E8"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Nick Naylor / Liz Kirchner</w:t>
            </w:r>
          </w:p>
        </w:tc>
        <w:tc>
          <w:tcPr>
            <w:tcW w:w="2244" w:type="dxa"/>
            <w:tcMar>
              <w:top w:w="0" w:type="dxa"/>
              <w:left w:w="108" w:type="dxa"/>
              <w:bottom w:w="0" w:type="dxa"/>
              <w:right w:w="108" w:type="dxa"/>
            </w:tcMar>
            <w:vAlign w:val="bottom"/>
            <w:hideMark/>
          </w:tcPr>
          <w:p w14:paraId="50B8615B"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020 3328 5656</w:t>
            </w:r>
          </w:p>
        </w:tc>
      </w:tr>
    </w:tbl>
    <w:p w14:paraId="434F4A71"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53E799BB"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About Nakama Group plc:</w:t>
      </w:r>
    </w:p>
    <w:p w14:paraId="77017C1D"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0F0354EE" w14:textId="77777777" w:rsidR="00AE009D" w:rsidRPr="00AE009D" w:rsidRDefault="00AE009D" w:rsidP="00AE009D">
      <w:pPr>
        <w:rPr>
          <w:rFonts w:ascii="Calibri" w:eastAsia="Times New Roman" w:hAnsi="Calibri" w:cs="Calibri"/>
          <w:b/>
          <w:bCs/>
          <w:color w:val="000000"/>
          <w:u w:val="single"/>
          <w:lang w:eastAsia="en-GB"/>
        </w:rPr>
      </w:pPr>
      <w:r w:rsidRPr="00AE009D">
        <w:rPr>
          <w:rFonts w:ascii="Arial" w:eastAsia="Times New Roman" w:hAnsi="Arial" w:cs="Arial"/>
          <w:b/>
          <w:bCs/>
          <w:color w:val="000000"/>
          <w:sz w:val="20"/>
          <w:szCs w:val="20"/>
          <w:u w:val="single"/>
          <w:lang w:eastAsia="en-GB"/>
        </w:rPr>
        <w:t>Chief Executive's review</w:t>
      </w:r>
    </w:p>
    <w:p w14:paraId="0DDDF3A0"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16D7E757"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Nakama Group plc (AIM: NAK) is a recruitment consultancy which places people into specialist and management positions in the digital, data, creative, media, marketing and technology disciplines with offices in the UK and Asia. The UK operation also specialises in the insurance and wealth management sectors, specifically in business change and IT, through the brand Highams Recruitment. </w:t>
      </w:r>
    </w:p>
    <w:p w14:paraId="73D2C081"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77301523"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The Group's speciality is finding excellent career opportunities and assignments for senior digital, IT, business and professional services talent. The team at Nakama seek to develop their relationships and networks to ensure the Group obtains the best available positions for such talent, whilst ensuring that the skills and personalities of its staff are compatible with the need of its clients. </w:t>
      </w:r>
    </w:p>
    <w:p w14:paraId="0AA7DEB9"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5180E2F"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Nakama Group plc was created in October 2011 through the acquisition of Nakama Ltd UK and its subsidiaries in Hong Kong, Singapore and Sydney by AIM listed Highams Systems Services Group plc.</w:t>
      </w:r>
    </w:p>
    <w:p w14:paraId="66E51D01"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7E9699D5"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The onset of COVID 19 has had an immediate impact on the group and has seen our trading decline accordingly. As a business we took immediate and decisive action which saw us take advantage of the various government support schemes. We immediately implemented a working from home strategy and reduced our cost base in line with our reduced levels of trading. </w:t>
      </w:r>
    </w:p>
    <w:p w14:paraId="729884D9"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02D7E6D"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In the UK the proposed changes to IR35 (since revised) also had a big impact on our contractor business and the deferral of these changes came too late. As a result, our UK contractor business declined. </w:t>
      </w:r>
    </w:p>
    <w:p w14:paraId="4C5816B4"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A6BE1F0"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2020 has been an incredibly challenging year, however, I am very proud of the way we have met these challenges and continued to trade. We have recently announced a sale of our trading businesses to Sanderson Group as it has become increasingly clear that without an injection of capital the Group may not be able to continue to trade.  Further details of the proposed disposal are set out in a circular sent to shareholders on 10 December 2020.  Should the proposed disposal, which is subject to shareholder approval, proceed the Company will become an AIM Rule 15 cash shell. As such, the Company , will either be required to make an acquisition or acquisitions constituting a reverse takeover under AIM Rule 14 on or before the date falling six months from the date of becoming a cash shell or be re-admitted to trading on AIM as an investing company under the AIM Rules (which requires the raising of at least £6 million) failing which, Nakama's Shares would then be suspended from trading on AIM pursuant to AIM Rule 40. Admission to trading on AIM would be cancelled six months from the date of any suspension should the suspension not have been lifted beforehand.</w:t>
      </w:r>
    </w:p>
    <w:p w14:paraId="47C79944"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4F4FA0D1"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Robert Thesiger</w:t>
      </w:r>
    </w:p>
    <w:p w14:paraId="3CD946F8"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Chief Executive Officer</w:t>
      </w:r>
    </w:p>
    <w:p w14:paraId="76847826"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530244C3"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1914C987"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9631" w:type="dxa"/>
        <w:tblInd w:w="-108" w:type="dxa"/>
        <w:tblCellMar>
          <w:left w:w="0" w:type="dxa"/>
          <w:right w:w="0" w:type="dxa"/>
        </w:tblCellMar>
        <w:tblLook w:val="04A0" w:firstRow="1" w:lastRow="0" w:firstColumn="1" w:lastColumn="0" w:noHBand="0" w:noVBand="1"/>
      </w:tblPr>
      <w:tblGrid>
        <w:gridCol w:w="3374"/>
        <w:gridCol w:w="231"/>
        <w:gridCol w:w="300"/>
        <w:gridCol w:w="262"/>
        <w:gridCol w:w="254"/>
        <w:gridCol w:w="903"/>
        <w:gridCol w:w="254"/>
        <w:gridCol w:w="420"/>
        <w:gridCol w:w="300"/>
        <w:gridCol w:w="66"/>
        <w:gridCol w:w="184"/>
        <w:gridCol w:w="343"/>
        <w:gridCol w:w="463"/>
        <w:gridCol w:w="324"/>
        <w:gridCol w:w="300"/>
        <w:gridCol w:w="368"/>
        <w:gridCol w:w="219"/>
        <w:gridCol w:w="301"/>
        <w:gridCol w:w="144"/>
        <w:gridCol w:w="321"/>
        <w:gridCol w:w="116"/>
        <w:gridCol w:w="184"/>
      </w:tblGrid>
      <w:tr w:rsidR="00AE009D" w:rsidRPr="00AE009D" w14:paraId="58B642DC" w14:textId="77777777" w:rsidTr="00AE009D">
        <w:trPr>
          <w:trHeight w:val="284"/>
        </w:trPr>
        <w:tc>
          <w:tcPr>
            <w:tcW w:w="3053" w:type="dxa"/>
            <w:tcMar>
              <w:top w:w="0" w:type="dxa"/>
              <w:left w:w="108" w:type="dxa"/>
              <w:bottom w:w="0" w:type="dxa"/>
              <w:right w:w="108" w:type="dxa"/>
            </w:tcMar>
            <w:vAlign w:val="center"/>
            <w:hideMark/>
          </w:tcPr>
          <w:p w14:paraId="4D840DF8"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CONSOLIDATED STATEMENT OF COMPREHENSIVE INCOME</w:t>
            </w:r>
          </w:p>
        </w:tc>
        <w:tc>
          <w:tcPr>
            <w:tcW w:w="467" w:type="dxa"/>
            <w:gridSpan w:val="3"/>
            <w:tcMar>
              <w:top w:w="0" w:type="dxa"/>
              <w:left w:w="108" w:type="dxa"/>
              <w:bottom w:w="0" w:type="dxa"/>
              <w:right w:w="108" w:type="dxa"/>
            </w:tcMar>
            <w:vAlign w:val="center"/>
            <w:hideMark/>
          </w:tcPr>
          <w:p w14:paraId="5E18B956"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47" w:type="dxa"/>
            <w:gridSpan w:val="2"/>
            <w:tcMar>
              <w:top w:w="0" w:type="dxa"/>
              <w:left w:w="108" w:type="dxa"/>
              <w:bottom w:w="0" w:type="dxa"/>
              <w:right w:w="108" w:type="dxa"/>
            </w:tcMar>
            <w:vAlign w:val="center"/>
            <w:hideMark/>
          </w:tcPr>
          <w:p w14:paraId="758AF4B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6EDA7CC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60" w:type="dxa"/>
            <w:gridSpan w:val="2"/>
            <w:tcMar>
              <w:top w:w="0" w:type="dxa"/>
              <w:left w:w="108" w:type="dxa"/>
              <w:bottom w:w="0" w:type="dxa"/>
              <w:right w:w="108" w:type="dxa"/>
            </w:tcMar>
            <w:hideMark/>
          </w:tcPr>
          <w:p w14:paraId="4EF19A9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893" w:type="dxa"/>
            <w:gridSpan w:val="3"/>
            <w:tcMar>
              <w:top w:w="0" w:type="dxa"/>
              <w:left w:w="108" w:type="dxa"/>
              <w:bottom w:w="0" w:type="dxa"/>
              <w:right w:w="108" w:type="dxa"/>
            </w:tcMar>
            <w:hideMark/>
          </w:tcPr>
          <w:p w14:paraId="25C5350E"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672" w:type="dxa"/>
            <w:gridSpan w:val="3"/>
            <w:tcMar>
              <w:top w:w="0" w:type="dxa"/>
              <w:left w:w="108" w:type="dxa"/>
              <w:bottom w:w="0" w:type="dxa"/>
              <w:right w:w="108" w:type="dxa"/>
            </w:tcMar>
            <w:vAlign w:val="bottom"/>
            <w:hideMark/>
          </w:tcPr>
          <w:p w14:paraId="1991208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70" w:type="dxa"/>
            <w:gridSpan w:val="2"/>
            <w:tcMar>
              <w:top w:w="0" w:type="dxa"/>
              <w:left w:w="108" w:type="dxa"/>
              <w:bottom w:w="0" w:type="dxa"/>
              <w:right w:w="108" w:type="dxa"/>
            </w:tcMar>
            <w:vAlign w:val="bottom"/>
            <w:hideMark/>
          </w:tcPr>
          <w:p w14:paraId="6F995E4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0" w:type="auto"/>
            <w:gridSpan w:val="4"/>
            <w:tcBorders>
              <w:top w:val="nil"/>
              <w:left w:val="nil"/>
              <w:bottom w:val="nil"/>
              <w:right w:val="nil"/>
            </w:tcBorders>
            <w:vAlign w:val="center"/>
            <w:hideMark/>
          </w:tcPr>
          <w:p w14:paraId="69C2294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2A1651E" w14:textId="77777777" w:rsidTr="00AE009D">
        <w:trPr>
          <w:trHeight w:val="149"/>
        </w:trPr>
        <w:tc>
          <w:tcPr>
            <w:tcW w:w="3263" w:type="dxa"/>
            <w:gridSpan w:val="2"/>
            <w:tcMar>
              <w:top w:w="0" w:type="dxa"/>
              <w:left w:w="108" w:type="dxa"/>
              <w:bottom w:w="0" w:type="dxa"/>
              <w:right w:w="108" w:type="dxa"/>
            </w:tcMar>
            <w:vAlign w:val="center"/>
            <w:hideMark/>
          </w:tcPr>
          <w:p w14:paraId="632FE95B"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For the six months to </w:t>
            </w:r>
          </w:p>
          <w:p w14:paraId="4018366E"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30 September 2020</w:t>
            </w:r>
          </w:p>
        </w:tc>
        <w:tc>
          <w:tcPr>
            <w:tcW w:w="20" w:type="dxa"/>
            <w:tcMar>
              <w:top w:w="0" w:type="dxa"/>
              <w:left w:w="108" w:type="dxa"/>
              <w:bottom w:w="0" w:type="dxa"/>
              <w:right w:w="108" w:type="dxa"/>
            </w:tcMar>
            <w:vAlign w:val="bottom"/>
            <w:hideMark/>
          </w:tcPr>
          <w:p w14:paraId="7BECE2CA"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467" w:type="dxa"/>
            <w:gridSpan w:val="2"/>
            <w:tcMar>
              <w:top w:w="0" w:type="dxa"/>
              <w:left w:w="108" w:type="dxa"/>
              <w:bottom w:w="0" w:type="dxa"/>
              <w:right w:w="108" w:type="dxa"/>
            </w:tcMar>
            <w:vAlign w:val="bottom"/>
            <w:hideMark/>
          </w:tcPr>
          <w:p w14:paraId="49C54E8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31616CB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0194E87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 Months to</w:t>
            </w:r>
          </w:p>
        </w:tc>
        <w:tc>
          <w:tcPr>
            <w:tcW w:w="42" w:type="dxa"/>
            <w:tcMar>
              <w:top w:w="0" w:type="dxa"/>
              <w:left w:w="108" w:type="dxa"/>
              <w:bottom w:w="0" w:type="dxa"/>
              <w:right w:w="108" w:type="dxa"/>
            </w:tcMar>
            <w:hideMark/>
          </w:tcPr>
          <w:p w14:paraId="48A64531"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Mar>
              <w:top w:w="0" w:type="dxa"/>
              <w:left w:w="108" w:type="dxa"/>
              <w:bottom w:w="0" w:type="dxa"/>
              <w:right w:w="108" w:type="dxa"/>
            </w:tcMar>
            <w:vAlign w:val="center"/>
            <w:hideMark/>
          </w:tcPr>
          <w:p w14:paraId="2DB9323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34C8E70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 Months to</w:t>
            </w:r>
          </w:p>
        </w:tc>
        <w:tc>
          <w:tcPr>
            <w:tcW w:w="46" w:type="dxa"/>
            <w:tcMar>
              <w:top w:w="0" w:type="dxa"/>
              <w:left w:w="108" w:type="dxa"/>
              <w:bottom w:w="0" w:type="dxa"/>
              <w:right w:w="108" w:type="dxa"/>
            </w:tcMar>
            <w:vAlign w:val="bottom"/>
            <w:hideMark/>
          </w:tcPr>
          <w:p w14:paraId="1A5429CD"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29D455AC" w14:textId="77777777" w:rsidR="00AE009D" w:rsidRPr="00AE009D" w:rsidRDefault="00AE009D" w:rsidP="00AE009D">
            <w:pPr>
              <w:ind w:right="181"/>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51E763CD" w14:textId="77777777" w:rsidR="00AE009D" w:rsidRPr="00AE009D" w:rsidRDefault="00AE009D" w:rsidP="00AE009D">
            <w:pPr>
              <w:ind w:right="181"/>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Year ended</w:t>
            </w:r>
          </w:p>
        </w:tc>
        <w:tc>
          <w:tcPr>
            <w:tcW w:w="209" w:type="dxa"/>
            <w:gridSpan w:val="2"/>
            <w:tcMar>
              <w:top w:w="0" w:type="dxa"/>
              <w:left w:w="108" w:type="dxa"/>
              <w:bottom w:w="0" w:type="dxa"/>
              <w:right w:w="108" w:type="dxa"/>
            </w:tcMar>
            <w:vAlign w:val="bottom"/>
            <w:hideMark/>
          </w:tcPr>
          <w:p w14:paraId="34EC91C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6B9DCA3" w14:textId="77777777" w:rsidTr="00AE009D">
        <w:trPr>
          <w:trHeight w:val="70"/>
        </w:trPr>
        <w:tc>
          <w:tcPr>
            <w:tcW w:w="3263" w:type="dxa"/>
            <w:gridSpan w:val="2"/>
            <w:tcMar>
              <w:top w:w="0" w:type="dxa"/>
              <w:left w:w="108" w:type="dxa"/>
              <w:bottom w:w="0" w:type="dxa"/>
              <w:right w:w="108" w:type="dxa"/>
            </w:tcMar>
            <w:vAlign w:val="bottom"/>
            <w:hideMark/>
          </w:tcPr>
          <w:p w14:paraId="34B12A5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lastRenderedPageBreak/>
              <w:t> </w:t>
            </w:r>
          </w:p>
        </w:tc>
        <w:tc>
          <w:tcPr>
            <w:tcW w:w="20" w:type="dxa"/>
            <w:tcMar>
              <w:top w:w="0" w:type="dxa"/>
              <w:left w:w="108" w:type="dxa"/>
              <w:bottom w:w="0" w:type="dxa"/>
              <w:right w:w="108" w:type="dxa"/>
            </w:tcMar>
            <w:vAlign w:val="bottom"/>
            <w:hideMark/>
          </w:tcPr>
          <w:p w14:paraId="0BB1D13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3FB4697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073E3048"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30 Sep 20</w:t>
            </w:r>
          </w:p>
        </w:tc>
        <w:tc>
          <w:tcPr>
            <w:tcW w:w="42" w:type="dxa"/>
            <w:tcMar>
              <w:top w:w="0" w:type="dxa"/>
              <w:left w:w="108" w:type="dxa"/>
              <w:bottom w:w="0" w:type="dxa"/>
              <w:right w:w="108" w:type="dxa"/>
            </w:tcMar>
            <w:hideMark/>
          </w:tcPr>
          <w:p w14:paraId="77CEE2EA"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Mar>
              <w:top w:w="0" w:type="dxa"/>
              <w:left w:w="108" w:type="dxa"/>
              <w:bottom w:w="0" w:type="dxa"/>
              <w:right w:w="108" w:type="dxa"/>
            </w:tcMar>
            <w:vAlign w:val="center"/>
            <w:hideMark/>
          </w:tcPr>
          <w:p w14:paraId="56E4240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30 Sep 19</w:t>
            </w:r>
          </w:p>
        </w:tc>
        <w:tc>
          <w:tcPr>
            <w:tcW w:w="46" w:type="dxa"/>
            <w:tcMar>
              <w:top w:w="0" w:type="dxa"/>
              <w:left w:w="108" w:type="dxa"/>
              <w:bottom w:w="0" w:type="dxa"/>
              <w:right w:w="108" w:type="dxa"/>
            </w:tcMar>
            <w:vAlign w:val="bottom"/>
            <w:hideMark/>
          </w:tcPr>
          <w:p w14:paraId="094694C8"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73C682A3" w14:textId="77777777" w:rsidR="00AE009D" w:rsidRPr="00AE009D" w:rsidRDefault="00AE009D" w:rsidP="00AE009D">
            <w:pPr>
              <w:ind w:right="181"/>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31 Mar 20</w:t>
            </w:r>
          </w:p>
        </w:tc>
        <w:tc>
          <w:tcPr>
            <w:tcW w:w="209" w:type="dxa"/>
            <w:gridSpan w:val="2"/>
            <w:tcMar>
              <w:top w:w="0" w:type="dxa"/>
              <w:left w:w="108" w:type="dxa"/>
              <w:bottom w:w="0" w:type="dxa"/>
              <w:right w:w="108" w:type="dxa"/>
            </w:tcMar>
            <w:vAlign w:val="bottom"/>
            <w:hideMark/>
          </w:tcPr>
          <w:p w14:paraId="218E9A15"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CFFD840" w14:textId="77777777" w:rsidTr="00AE009D">
        <w:trPr>
          <w:trHeight w:val="275"/>
        </w:trPr>
        <w:tc>
          <w:tcPr>
            <w:tcW w:w="3263" w:type="dxa"/>
            <w:gridSpan w:val="2"/>
            <w:tcMar>
              <w:top w:w="0" w:type="dxa"/>
              <w:left w:w="108" w:type="dxa"/>
              <w:bottom w:w="0" w:type="dxa"/>
              <w:right w:w="108" w:type="dxa"/>
            </w:tcMar>
            <w:vAlign w:val="bottom"/>
            <w:hideMark/>
          </w:tcPr>
          <w:p w14:paraId="53523E3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1529BE7E"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7D7D9A9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bottom"/>
            <w:hideMark/>
          </w:tcPr>
          <w:p w14:paraId="569FD91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Unaudited</w:t>
            </w:r>
          </w:p>
        </w:tc>
        <w:tc>
          <w:tcPr>
            <w:tcW w:w="42" w:type="dxa"/>
            <w:tcMar>
              <w:top w:w="0" w:type="dxa"/>
              <w:left w:w="108" w:type="dxa"/>
              <w:bottom w:w="0" w:type="dxa"/>
              <w:right w:w="108" w:type="dxa"/>
            </w:tcMar>
            <w:hideMark/>
          </w:tcPr>
          <w:p w14:paraId="4D57F92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06" w:type="dxa"/>
            <w:gridSpan w:val="5"/>
            <w:tcMar>
              <w:top w:w="0" w:type="dxa"/>
              <w:left w:w="108" w:type="dxa"/>
              <w:bottom w:w="0" w:type="dxa"/>
              <w:right w:w="108" w:type="dxa"/>
            </w:tcMar>
            <w:vAlign w:val="bottom"/>
            <w:hideMark/>
          </w:tcPr>
          <w:p w14:paraId="42FF51E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Unaudited</w:t>
            </w:r>
          </w:p>
        </w:tc>
        <w:tc>
          <w:tcPr>
            <w:tcW w:w="46" w:type="dxa"/>
            <w:tcMar>
              <w:top w:w="0" w:type="dxa"/>
              <w:left w:w="108" w:type="dxa"/>
              <w:bottom w:w="0" w:type="dxa"/>
              <w:right w:w="108" w:type="dxa"/>
            </w:tcMar>
            <w:vAlign w:val="bottom"/>
            <w:hideMark/>
          </w:tcPr>
          <w:p w14:paraId="57F5A58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23" w:type="dxa"/>
            <w:gridSpan w:val="5"/>
            <w:tcMar>
              <w:top w:w="0" w:type="dxa"/>
              <w:left w:w="108" w:type="dxa"/>
              <w:bottom w:w="0" w:type="dxa"/>
              <w:right w:w="108" w:type="dxa"/>
            </w:tcMar>
            <w:vAlign w:val="bottom"/>
            <w:hideMark/>
          </w:tcPr>
          <w:p w14:paraId="05DBA54E" w14:textId="77777777" w:rsidR="00AE009D" w:rsidRPr="00AE009D" w:rsidRDefault="00AE009D" w:rsidP="00AE009D">
            <w:pPr>
              <w:ind w:right="181"/>
              <w:jc w:val="right"/>
              <w:rPr>
                <w:rFonts w:ascii="Calibri" w:eastAsia="Times New Roman" w:hAnsi="Calibri" w:cs="Calibri"/>
                <w:lang w:eastAsia="en-GB"/>
              </w:rPr>
            </w:pPr>
            <w:r w:rsidRPr="00AE009D">
              <w:rPr>
                <w:rFonts w:ascii="Arial" w:eastAsia="Times New Roman" w:hAnsi="Arial" w:cs="Arial"/>
                <w:sz w:val="20"/>
                <w:szCs w:val="20"/>
                <w:lang w:eastAsia="en-GB"/>
              </w:rPr>
              <w:t>Audited</w:t>
            </w:r>
          </w:p>
        </w:tc>
        <w:tc>
          <w:tcPr>
            <w:tcW w:w="209" w:type="dxa"/>
            <w:gridSpan w:val="2"/>
            <w:tcMar>
              <w:top w:w="0" w:type="dxa"/>
              <w:left w:w="108" w:type="dxa"/>
              <w:bottom w:w="0" w:type="dxa"/>
              <w:right w:w="108" w:type="dxa"/>
            </w:tcMar>
            <w:vAlign w:val="bottom"/>
            <w:hideMark/>
          </w:tcPr>
          <w:p w14:paraId="5661477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7EE313F" w14:textId="77777777" w:rsidTr="00AE009D">
        <w:trPr>
          <w:trHeight w:val="275"/>
        </w:trPr>
        <w:tc>
          <w:tcPr>
            <w:tcW w:w="3263" w:type="dxa"/>
            <w:gridSpan w:val="2"/>
            <w:tcMar>
              <w:top w:w="0" w:type="dxa"/>
              <w:left w:w="108" w:type="dxa"/>
              <w:bottom w:w="0" w:type="dxa"/>
              <w:right w:w="108" w:type="dxa"/>
            </w:tcMar>
            <w:vAlign w:val="bottom"/>
            <w:hideMark/>
          </w:tcPr>
          <w:p w14:paraId="2E1813A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6CB69FA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35175CB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5C4C1E4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42" w:type="dxa"/>
            <w:tcMar>
              <w:top w:w="0" w:type="dxa"/>
              <w:left w:w="108" w:type="dxa"/>
              <w:bottom w:w="0" w:type="dxa"/>
              <w:right w:w="108" w:type="dxa"/>
            </w:tcMar>
            <w:hideMark/>
          </w:tcPr>
          <w:p w14:paraId="6F31C502"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Mar>
              <w:top w:w="0" w:type="dxa"/>
              <w:left w:w="108" w:type="dxa"/>
              <w:bottom w:w="0" w:type="dxa"/>
              <w:right w:w="108" w:type="dxa"/>
            </w:tcMar>
            <w:vAlign w:val="center"/>
            <w:hideMark/>
          </w:tcPr>
          <w:p w14:paraId="635FC14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46" w:type="dxa"/>
            <w:tcMar>
              <w:top w:w="0" w:type="dxa"/>
              <w:left w:w="108" w:type="dxa"/>
              <w:bottom w:w="0" w:type="dxa"/>
              <w:right w:w="108" w:type="dxa"/>
            </w:tcMar>
            <w:vAlign w:val="bottom"/>
            <w:hideMark/>
          </w:tcPr>
          <w:p w14:paraId="6B87B69C"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50756061" w14:textId="77777777" w:rsidR="00AE009D" w:rsidRPr="00AE009D" w:rsidRDefault="00AE009D" w:rsidP="00AE009D">
            <w:pPr>
              <w:ind w:right="181"/>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209" w:type="dxa"/>
            <w:gridSpan w:val="2"/>
            <w:tcMar>
              <w:top w:w="0" w:type="dxa"/>
              <w:left w:w="108" w:type="dxa"/>
              <w:bottom w:w="0" w:type="dxa"/>
              <w:right w:w="108" w:type="dxa"/>
            </w:tcMar>
            <w:vAlign w:val="bottom"/>
            <w:hideMark/>
          </w:tcPr>
          <w:p w14:paraId="41FF3DA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D1FA812" w14:textId="77777777" w:rsidTr="00AE009D">
        <w:trPr>
          <w:trHeight w:val="275"/>
        </w:trPr>
        <w:tc>
          <w:tcPr>
            <w:tcW w:w="3263" w:type="dxa"/>
            <w:gridSpan w:val="2"/>
            <w:tcMar>
              <w:top w:w="0" w:type="dxa"/>
              <w:left w:w="108" w:type="dxa"/>
              <w:bottom w:w="0" w:type="dxa"/>
              <w:right w:w="108" w:type="dxa"/>
            </w:tcMar>
            <w:vAlign w:val="bottom"/>
            <w:hideMark/>
          </w:tcPr>
          <w:p w14:paraId="07E4337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58969C7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24FD6B5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bottom"/>
            <w:hideMark/>
          </w:tcPr>
          <w:p w14:paraId="290B572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42" w:type="dxa"/>
            <w:tcMar>
              <w:top w:w="0" w:type="dxa"/>
              <w:left w:w="108" w:type="dxa"/>
              <w:bottom w:w="0" w:type="dxa"/>
              <w:right w:w="108" w:type="dxa"/>
            </w:tcMar>
            <w:hideMark/>
          </w:tcPr>
          <w:p w14:paraId="331B1A4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06" w:type="dxa"/>
            <w:gridSpan w:val="5"/>
            <w:tcMar>
              <w:top w:w="0" w:type="dxa"/>
              <w:left w:w="108" w:type="dxa"/>
              <w:bottom w:w="0" w:type="dxa"/>
              <w:right w:w="108" w:type="dxa"/>
            </w:tcMar>
            <w:vAlign w:val="bottom"/>
            <w:hideMark/>
          </w:tcPr>
          <w:p w14:paraId="31CC0EF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 w:type="dxa"/>
            <w:tcMar>
              <w:top w:w="0" w:type="dxa"/>
              <w:left w:w="108" w:type="dxa"/>
              <w:bottom w:w="0" w:type="dxa"/>
              <w:right w:w="108" w:type="dxa"/>
            </w:tcMar>
            <w:vAlign w:val="bottom"/>
            <w:hideMark/>
          </w:tcPr>
          <w:p w14:paraId="7C66757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23" w:type="dxa"/>
            <w:gridSpan w:val="5"/>
            <w:tcMar>
              <w:top w:w="0" w:type="dxa"/>
              <w:left w:w="108" w:type="dxa"/>
              <w:bottom w:w="0" w:type="dxa"/>
              <w:right w:w="108" w:type="dxa"/>
            </w:tcMar>
            <w:vAlign w:val="bottom"/>
            <w:hideMark/>
          </w:tcPr>
          <w:p w14:paraId="01B5335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209" w:type="dxa"/>
            <w:gridSpan w:val="2"/>
            <w:tcMar>
              <w:top w:w="0" w:type="dxa"/>
              <w:left w:w="108" w:type="dxa"/>
              <w:bottom w:w="0" w:type="dxa"/>
              <w:right w:w="108" w:type="dxa"/>
            </w:tcMar>
            <w:vAlign w:val="bottom"/>
            <w:hideMark/>
          </w:tcPr>
          <w:p w14:paraId="1F806E9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067F93E" w14:textId="77777777" w:rsidTr="00AE009D">
        <w:trPr>
          <w:trHeight w:val="275"/>
        </w:trPr>
        <w:tc>
          <w:tcPr>
            <w:tcW w:w="3263" w:type="dxa"/>
            <w:gridSpan w:val="2"/>
            <w:tcMar>
              <w:top w:w="0" w:type="dxa"/>
              <w:left w:w="108" w:type="dxa"/>
              <w:bottom w:w="0" w:type="dxa"/>
              <w:right w:w="108" w:type="dxa"/>
            </w:tcMar>
            <w:vAlign w:val="center"/>
            <w:hideMark/>
          </w:tcPr>
          <w:p w14:paraId="627F85C4"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Revenue</w:t>
            </w:r>
          </w:p>
        </w:tc>
        <w:tc>
          <w:tcPr>
            <w:tcW w:w="20" w:type="dxa"/>
            <w:tcMar>
              <w:top w:w="0" w:type="dxa"/>
              <w:left w:w="108" w:type="dxa"/>
              <w:bottom w:w="0" w:type="dxa"/>
              <w:right w:w="108" w:type="dxa"/>
            </w:tcMar>
            <w:vAlign w:val="bottom"/>
            <w:hideMark/>
          </w:tcPr>
          <w:p w14:paraId="513B9821"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7648015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4368D1F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3,139</w:t>
            </w:r>
          </w:p>
        </w:tc>
        <w:tc>
          <w:tcPr>
            <w:tcW w:w="42" w:type="dxa"/>
            <w:tcMar>
              <w:top w:w="0" w:type="dxa"/>
              <w:left w:w="108" w:type="dxa"/>
              <w:bottom w:w="0" w:type="dxa"/>
              <w:right w:w="108" w:type="dxa"/>
            </w:tcMar>
            <w:hideMark/>
          </w:tcPr>
          <w:p w14:paraId="274B6C03"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Mar>
              <w:top w:w="0" w:type="dxa"/>
              <w:left w:w="108" w:type="dxa"/>
              <w:bottom w:w="0" w:type="dxa"/>
              <w:right w:w="108" w:type="dxa"/>
            </w:tcMar>
            <w:vAlign w:val="center"/>
            <w:hideMark/>
          </w:tcPr>
          <w:p w14:paraId="137B77E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4,767</w:t>
            </w:r>
          </w:p>
        </w:tc>
        <w:tc>
          <w:tcPr>
            <w:tcW w:w="46" w:type="dxa"/>
            <w:tcMar>
              <w:top w:w="0" w:type="dxa"/>
              <w:left w:w="108" w:type="dxa"/>
              <w:bottom w:w="0" w:type="dxa"/>
              <w:right w:w="108" w:type="dxa"/>
            </w:tcMar>
            <w:vAlign w:val="bottom"/>
            <w:hideMark/>
          </w:tcPr>
          <w:p w14:paraId="02B4617E"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5D0CE08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9,719</w:t>
            </w:r>
          </w:p>
        </w:tc>
        <w:tc>
          <w:tcPr>
            <w:tcW w:w="209" w:type="dxa"/>
            <w:gridSpan w:val="2"/>
            <w:tcMar>
              <w:top w:w="0" w:type="dxa"/>
              <w:left w:w="108" w:type="dxa"/>
              <w:bottom w:w="0" w:type="dxa"/>
              <w:right w:w="108" w:type="dxa"/>
            </w:tcMar>
            <w:vAlign w:val="bottom"/>
            <w:hideMark/>
          </w:tcPr>
          <w:p w14:paraId="520FBA3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BB67F67" w14:textId="77777777" w:rsidTr="00AE009D">
        <w:trPr>
          <w:trHeight w:val="289"/>
        </w:trPr>
        <w:tc>
          <w:tcPr>
            <w:tcW w:w="3263" w:type="dxa"/>
            <w:gridSpan w:val="2"/>
            <w:tcMar>
              <w:top w:w="0" w:type="dxa"/>
              <w:left w:w="108" w:type="dxa"/>
              <w:bottom w:w="0" w:type="dxa"/>
              <w:right w:w="108" w:type="dxa"/>
            </w:tcMar>
            <w:vAlign w:val="center"/>
            <w:hideMark/>
          </w:tcPr>
          <w:p w14:paraId="6FD1A5D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Cost of sales</w:t>
            </w:r>
          </w:p>
        </w:tc>
        <w:tc>
          <w:tcPr>
            <w:tcW w:w="20" w:type="dxa"/>
            <w:tcMar>
              <w:top w:w="0" w:type="dxa"/>
              <w:left w:w="108" w:type="dxa"/>
              <w:bottom w:w="0" w:type="dxa"/>
              <w:right w:w="108" w:type="dxa"/>
            </w:tcMar>
            <w:vAlign w:val="bottom"/>
            <w:hideMark/>
          </w:tcPr>
          <w:p w14:paraId="58D560D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0CF1B3B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nil"/>
              <w:left w:val="nil"/>
              <w:bottom w:val="single" w:sz="8" w:space="0" w:color="auto"/>
              <w:right w:val="nil"/>
            </w:tcBorders>
            <w:tcMar>
              <w:top w:w="0" w:type="dxa"/>
              <w:left w:w="108" w:type="dxa"/>
              <w:bottom w:w="0" w:type="dxa"/>
              <w:right w:w="108" w:type="dxa"/>
            </w:tcMar>
            <w:vAlign w:val="center"/>
            <w:hideMark/>
          </w:tcPr>
          <w:p w14:paraId="2F88142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(2,307)</w:t>
            </w:r>
          </w:p>
        </w:tc>
        <w:tc>
          <w:tcPr>
            <w:tcW w:w="42" w:type="dxa"/>
            <w:tcMar>
              <w:top w:w="0" w:type="dxa"/>
              <w:left w:w="108" w:type="dxa"/>
              <w:bottom w:w="0" w:type="dxa"/>
              <w:right w:w="108" w:type="dxa"/>
            </w:tcMar>
            <w:hideMark/>
          </w:tcPr>
          <w:p w14:paraId="1279D724"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673F31A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(3,237)</w:t>
            </w:r>
          </w:p>
        </w:tc>
        <w:tc>
          <w:tcPr>
            <w:tcW w:w="46" w:type="dxa"/>
            <w:tcMar>
              <w:top w:w="0" w:type="dxa"/>
              <w:left w:w="108" w:type="dxa"/>
              <w:bottom w:w="0" w:type="dxa"/>
              <w:right w:w="108" w:type="dxa"/>
            </w:tcMar>
            <w:vAlign w:val="bottom"/>
            <w:hideMark/>
          </w:tcPr>
          <w:p w14:paraId="7E61C37D"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nil"/>
              <w:left w:val="nil"/>
              <w:bottom w:val="single" w:sz="8" w:space="0" w:color="auto"/>
              <w:right w:val="nil"/>
            </w:tcBorders>
            <w:tcMar>
              <w:top w:w="0" w:type="dxa"/>
              <w:left w:w="108" w:type="dxa"/>
              <w:bottom w:w="0" w:type="dxa"/>
              <w:right w:w="108" w:type="dxa"/>
            </w:tcMar>
            <w:vAlign w:val="center"/>
            <w:hideMark/>
          </w:tcPr>
          <w:p w14:paraId="0795861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(6,805)</w:t>
            </w:r>
          </w:p>
        </w:tc>
        <w:tc>
          <w:tcPr>
            <w:tcW w:w="209" w:type="dxa"/>
            <w:gridSpan w:val="2"/>
            <w:tcMar>
              <w:top w:w="0" w:type="dxa"/>
              <w:left w:w="108" w:type="dxa"/>
              <w:bottom w:w="0" w:type="dxa"/>
              <w:right w:w="108" w:type="dxa"/>
            </w:tcMar>
            <w:vAlign w:val="bottom"/>
            <w:hideMark/>
          </w:tcPr>
          <w:p w14:paraId="0E46584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9FC606F" w14:textId="77777777" w:rsidTr="00AE009D">
        <w:trPr>
          <w:trHeight w:val="289"/>
        </w:trPr>
        <w:tc>
          <w:tcPr>
            <w:tcW w:w="3263" w:type="dxa"/>
            <w:gridSpan w:val="2"/>
            <w:tcMar>
              <w:top w:w="0" w:type="dxa"/>
              <w:left w:w="108" w:type="dxa"/>
              <w:bottom w:w="0" w:type="dxa"/>
              <w:right w:w="108" w:type="dxa"/>
            </w:tcMar>
            <w:vAlign w:val="center"/>
            <w:hideMark/>
          </w:tcPr>
          <w:p w14:paraId="63426ECD"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Net Fee Income</w:t>
            </w:r>
          </w:p>
        </w:tc>
        <w:tc>
          <w:tcPr>
            <w:tcW w:w="20" w:type="dxa"/>
            <w:tcMar>
              <w:top w:w="0" w:type="dxa"/>
              <w:left w:w="108" w:type="dxa"/>
              <w:bottom w:w="0" w:type="dxa"/>
              <w:right w:w="108" w:type="dxa"/>
            </w:tcMar>
            <w:vAlign w:val="bottom"/>
            <w:hideMark/>
          </w:tcPr>
          <w:p w14:paraId="06A1AD41"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467" w:type="dxa"/>
            <w:gridSpan w:val="2"/>
            <w:tcMar>
              <w:top w:w="0" w:type="dxa"/>
              <w:left w:w="108" w:type="dxa"/>
              <w:bottom w:w="0" w:type="dxa"/>
              <w:right w:w="108" w:type="dxa"/>
            </w:tcMar>
            <w:vAlign w:val="bottom"/>
            <w:hideMark/>
          </w:tcPr>
          <w:p w14:paraId="038056F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nil"/>
              <w:left w:val="nil"/>
              <w:bottom w:val="single" w:sz="8" w:space="0" w:color="auto"/>
              <w:right w:val="nil"/>
            </w:tcBorders>
            <w:tcMar>
              <w:top w:w="0" w:type="dxa"/>
              <w:left w:w="108" w:type="dxa"/>
              <w:bottom w:w="0" w:type="dxa"/>
              <w:right w:w="108" w:type="dxa"/>
            </w:tcMar>
            <w:vAlign w:val="center"/>
            <w:hideMark/>
          </w:tcPr>
          <w:p w14:paraId="6D958FC8"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832</w:t>
            </w:r>
          </w:p>
        </w:tc>
        <w:tc>
          <w:tcPr>
            <w:tcW w:w="42" w:type="dxa"/>
            <w:tcMar>
              <w:top w:w="0" w:type="dxa"/>
              <w:left w:w="108" w:type="dxa"/>
              <w:bottom w:w="0" w:type="dxa"/>
              <w:right w:w="108" w:type="dxa"/>
            </w:tcMar>
            <w:hideMark/>
          </w:tcPr>
          <w:p w14:paraId="1DB9D921"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7DCB88F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1,530</w:t>
            </w:r>
          </w:p>
        </w:tc>
        <w:tc>
          <w:tcPr>
            <w:tcW w:w="46" w:type="dxa"/>
            <w:tcMar>
              <w:top w:w="0" w:type="dxa"/>
              <w:left w:w="108" w:type="dxa"/>
              <w:bottom w:w="0" w:type="dxa"/>
              <w:right w:w="108" w:type="dxa"/>
            </w:tcMar>
            <w:vAlign w:val="bottom"/>
            <w:hideMark/>
          </w:tcPr>
          <w:p w14:paraId="04539FD1"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nil"/>
              <w:left w:val="nil"/>
              <w:bottom w:val="single" w:sz="8" w:space="0" w:color="auto"/>
              <w:right w:val="nil"/>
            </w:tcBorders>
            <w:tcMar>
              <w:top w:w="0" w:type="dxa"/>
              <w:left w:w="108" w:type="dxa"/>
              <w:bottom w:w="0" w:type="dxa"/>
              <w:right w:w="108" w:type="dxa"/>
            </w:tcMar>
            <w:vAlign w:val="center"/>
            <w:hideMark/>
          </w:tcPr>
          <w:p w14:paraId="1726CE1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2,914</w:t>
            </w:r>
          </w:p>
        </w:tc>
        <w:tc>
          <w:tcPr>
            <w:tcW w:w="209" w:type="dxa"/>
            <w:gridSpan w:val="2"/>
            <w:tcMar>
              <w:top w:w="0" w:type="dxa"/>
              <w:left w:w="108" w:type="dxa"/>
              <w:bottom w:w="0" w:type="dxa"/>
              <w:right w:w="108" w:type="dxa"/>
            </w:tcMar>
            <w:vAlign w:val="bottom"/>
            <w:hideMark/>
          </w:tcPr>
          <w:p w14:paraId="46BD5F4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AFF386E" w14:textId="77777777" w:rsidTr="00AE009D">
        <w:trPr>
          <w:trHeight w:val="275"/>
        </w:trPr>
        <w:tc>
          <w:tcPr>
            <w:tcW w:w="3263" w:type="dxa"/>
            <w:gridSpan w:val="2"/>
            <w:tcMar>
              <w:top w:w="0" w:type="dxa"/>
              <w:left w:w="108" w:type="dxa"/>
              <w:bottom w:w="0" w:type="dxa"/>
              <w:right w:w="108" w:type="dxa"/>
            </w:tcMar>
            <w:vAlign w:val="bottom"/>
            <w:hideMark/>
          </w:tcPr>
          <w:p w14:paraId="120C6D0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01BF4BD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22CCFD4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2D1C560C" w14:textId="77777777" w:rsidR="00AE009D" w:rsidRPr="00AE009D" w:rsidRDefault="00AE009D" w:rsidP="00AE009D">
            <w:pPr>
              <w:jc w:val="right"/>
              <w:rPr>
                <w:rFonts w:ascii="Calibri" w:eastAsia="Times New Roman" w:hAnsi="Calibri" w:cs="Calibri"/>
                <w:b/>
                <w:bCs/>
                <w:i/>
                <w:iCs/>
                <w:lang w:eastAsia="en-GB"/>
              </w:rPr>
            </w:pPr>
            <w:r w:rsidRPr="00AE009D">
              <w:rPr>
                <w:rFonts w:ascii="Arial" w:eastAsia="Times New Roman" w:hAnsi="Arial" w:cs="Arial"/>
                <w:b/>
                <w:bCs/>
                <w:i/>
                <w:iCs/>
                <w:color w:val="000000"/>
                <w:sz w:val="20"/>
                <w:szCs w:val="20"/>
                <w:lang w:eastAsia="en-GB"/>
              </w:rPr>
              <w:t>27%</w:t>
            </w:r>
          </w:p>
        </w:tc>
        <w:tc>
          <w:tcPr>
            <w:tcW w:w="42" w:type="dxa"/>
            <w:tcMar>
              <w:top w:w="0" w:type="dxa"/>
              <w:left w:w="108" w:type="dxa"/>
              <w:bottom w:w="0" w:type="dxa"/>
              <w:right w:w="108" w:type="dxa"/>
            </w:tcMar>
            <w:hideMark/>
          </w:tcPr>
          <w:p w14:paraId="331DD404" w14:textId="77777777" w:rsidR="00AE009D" w:rsidRPr="00AE009D" w:rsidRDefault="00AE009D" w:rsidP="00AE009D">
            <w:pPr>
              <w:jc w:val="right"/>
              <w:rPr>
                <w:rFonts w:ascii="Calibri" w:eastAsia="Times New Roman" w:hAnsi="Calibri" w:cs="Calibri"/>
                <w:b/>
                <w:bCs/>
                <w:i/>
                <w:iCs/>
                <w:lang w:eastAsia="en-GB"/>
              </w:rPr>
            </w:pPr>
            <w:r w:rsidRPr="00AE009D">
              <w:rPr>
                <w:rFonts w:ascii="Calibri" w:eastAsia="Times New Roman" w:hAnsi="Calibri" w:cs="Calibri"/>
                <w:b/>
                <w:bCs/>
                <w:i/>
                <w:iCs/>
                <w:lang w:eastAsia="en-GB"/>
              </w:rPr>
              <w:t> </w:t>
            </w:r>
          </w:p>
        </w:tc>
        <w:tc>
          <w:tcPr>
            <w:tcW w:w="1206" w:type="dxa"/>
            <w:gridSpan w:val="5"/>
            <w:tcBorders>
              <w:top w:val="nil"/>
              <w:left w:val="nil"/>
              <w:bottom w:val="nil"/>
              <w:right w:val="nil"/>
            </w:tcBorders>
            <w:tcMar>
              <w:top w:w="0" w:type="dxa"/>
              <w:left w:w="108" w:type="dxa"/>
              <w:bottom w:w="0" w:type="dxa"/>
              <w:right w:w="108" w:type="dxa"/>
            </w:tcMar>
            <w:vAlign w:val="center"/>
            <w:hideMark/>
          </w:tcPr>
          <w:p w14:paraId="1A5B6623" w14:textId="77777777" w:rsidR="00AE009D" w:rsidRPr="00AE009D" w:rsidRDefault="00AE009D" w:rsidP="00AE009D">
            <w:pPr>
              <w:jc w:val="right"/>
              <w:rPr>
                <w:rFonts w:ascii="Calibri" w:eastAsia="Times New Roman" w:hAnsi="Calibri" w:cs="Calibri"/>
                <w:i/>
                <w:iCs/>
                <w:lang w:eastAsia="en-GB"/>
              </w:rPr>
            </w:pPr>
            <w:r w:rsidRPr="00AE009D">
              <w:rPr>
                <w:rFonts w:ascii="Arial" w:eastAsia="Times New Roman" w:hAnsi="Arial" w:cs="Arial"/>
                <w:i/>
                <w:iCs/>
                <w:color w:val="000000"/>
                <w:sz w:val="20"/>
                <w:szCs w:val="20"/>
                <w:lang w:eastAsia="en-GB"/>
              </w:rPr>
              <w:t>32%</w:t>
            </w:r>
          </w:p>
        </w:tc>
        <w:tc>
          <w:tcPr>
            <w:tcW w:w="46" w:type="dxa"/>
            <w:tcMar>
              <w:top w:w="0" w:type="dxa"/>
              <w:left w:w="108" w:type="dxa"/>
              <w:bottom w:w="0" w:type="dxa"/>
              <w:right w:w="108" w:type="dxa"/>
            </w:tcMar>
            <w:vAlign w:val="bottom"/>
            <w:hideMark/>
          </w:tcPr>
          <w:p w14:paraId="3F6A0789" w14:textId="77777777" w:rsidR="00AE009D" w:rsidRPr="00AE009D" w:rsidRDefault="00AE009D" w:rsidP="00AE009D">
            <w:pPr>
              <w:jc w:val="right"/>
              <w:rPr>
                <w:rFonts w:ascii="Calibri" w:eastAsia="Times New Roman" w:hAnsi="Calibri" w:cs="Calibri"/>
                <w:b/>
                <w:bCs/>
                <w:i/>
                <w:iCs/>
                <w:lang w:eastAsia="en-GB"/>
              </w:rPr>
            </w:pPr>
            <w:r w:rsidRPr="00AE009D">
              <w:rPr>
                <w:rFonts w:ascii="Calibri" w:eastAsia="Times New Roman" w:hAnsi="Calibri" w:cs="Calibri"/>
                <w:b/>
                <w:bCs/>
                <w:i/>
                <w:iCs/>
                <w:lang w:eastAsia="en-GB"/>
              </w:rPr>
              <w:t> </w:t>
            </w:r>
          </w:p>
        </w:tc>
        <w:tc>
          <w:tcPr>
            <w:tcW w:w="1223" w:type="dxa"/>
            <w:gridSpan w:val="5"/>
            <w:tcMar>
              <w:top w:w="0" w:type="dxa"/>
              <w:left w:w="108" w:type="dxa"/>
              <w:bottom w:w="0" w:type="dxa"/>
              <w:right w:w="108" w:type="dxa"/>
            </w:tcMar>
            <w:vAlign w:val="center"/>
            <w:hideMark/>
          </w:tcPr>
          <w:p w14:paraId="61AFDCCC" w14:textId="77777777" w:rsidR="00AE009D" w:rsidRPr="00AE009D" w:rsidRDefault="00AE009D" w:rsidP="00AE009D">
            <w:pPr>
              <w:jc w:val="right"/>
              <w:rPr>
                <w:rFonts w:ascii="Calibri" w:eastAsia="Times New Roman" w:hAnsi="Calibri" w:cs="Calibri"/>
                <w:i/>
                <w:iCs/>
                <w:lang w:eastAsia="en-GB"/>
              </w:rPr>
            </w:pPr>
            <w:r w:rsidRPr="00AE009D">
              <w:rPr>
                <w:rFonts w:ascii="Arial" w:eastAsia="Times New Roman" w:hAnsi="Arial" w:cs="Arial"/>
                <w:i/>
                <w:iCs/>
                <w:color w:val="000000"/>
                <w:sz w:val="20"/>
                <w:szCs w:val="20"/>
                <w:lang w:eastAsia="en-GB"/>
              </w:rPr>
              <w:t>31%</w:t>
            </w:r>
          </w:p>
        </w:tc>
        <w:tc>
          <w:tcPr>
            <w:tcW w:w="209" w:type="dxa"/>
            <w:gridSpan w:val="2"/>
            <w:tcMar>
              <w:top w:w="0" w:type="dxa"/>
              <w:left w:w="108" w:type="dxa"/>
              <w:bottom w:w="0" w:type="dxa"/>
              <w:right w:w="108" w:type="dxa"/>
            </w:tcMar>
            <w:vAlign w:val="bottom"/>
            <w:hideMark/>
          </w:tcPr>
          <w:p w14:paraId="32B669A2" w14:textId="77777777" w:rsidR="00AE009D" w:rsidRPr="00AE009D" w:rsidRDefault="00AE009D" w:rsidP="00AE009D">
            <w:pPr>
              <w:jc w:val="right"/>
              <w:rPr>
                <w:rFonts w:ascii="Calibri" w:eastAsia="Times New Roman" w:hAnsi="Calibri" w:cs="Calibri"/>
                <w:i/>
                <w:iCs/>
                <w:lang w:eastAsia="en-GB"/>
              </w:rPr>
            </w:pPr>
            <w:r w:rsidRPr="00AE009D">
              <w:rPr>
                <w:rFonts w:ascii="Calibri" w:eastAsia="Times New Roman" w:hAnsi="Calibri" w:cs="Calibri"/>
                <w:i/>
                <w:iCs/>
                <w:lang w:eastAsia="en-GB"/>
              </w:rPr>
              <w:t> </w:t>
            </w:r>
          </w:p>
        </w:tc>
      </w:tr>
      <w:tr w:rsidR="00AE009D" w:rsidRPr="00AE009D" w14:paraId="12B630B8" w14:textId="77777777" w:rsidTr="00AE009D">
        <w:trPr>
          <w:trHeight w:val="289"/>
        </w:trPr>
        <w:tc>
          <w:tcPr>
            <w:tcW w:w="3263" w:type="dxa"/>
            <w:gridSpan w:val="2"/>
            <w:tcMar>
              <w:top w:w="0" w:type="dxa"/>
              <w:left w:w="108" w:type="dxa"/>
              <w:bottom w:w="0" w:type="dxa"/>
              <w:right w:w="108" w:type="dxa"/>
            </w:tcMar>
            <w:vAlign w:val="center"/>
            <w:hideMark/>
          </w:tcPr>
          <w:p w14:paraId="4C249FDD"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Administrative cost</w:t>
            </w:r>
          </w:p>
        </w:tc>
        <w:tc>
          <w:tcPr>
            <w:tcW w:w="20" w:type="dxa"/>
            <w:tcMar>
              <w:top w:w="0" w:type="dxa"/>
              <w:left w:w="108" w:type="dxa"/>
              <w:bottom w:w="0" w:type="dxa"/>
              <w:right w:w="108" w:type="dxa"/>
            </w:tcMar>
            <w:vAlign w:val="bottom"/>
            <w:hideMark/>
          </w:tcPr>
          <w:p w14:paraId="3415BB3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40BB6C2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nil"/>
              <w:left w:val="nil"/>
              <w:bottom w:val="single" w:sz="8" w:space="0" w:color="auto"/>
              <w:right w:val="nil"/>
            </w:tcBorders>
            <w:tcMar>
              <w:top w:w="0" w:type="dxa"/>
              <w:left w:w="108" w:type="dxa"/>
              <w:bottom w:w="0" w:type="dxa"/>
              <w:right w:w="108" w:type="dxa"/>
            </w:tcMar>
            <w:vAlign w:val="center"/>
            <w:hideMark/>
          </w:tcPr>
          <w:p w14:paraId="713182E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(928)</w:t>
            </w:r>
          </w:p>
        </w:tc>
        <w:tc>
          <w:tcPr>
            <w:tcW w:w="42" w:type="dxa"/>
            <w:tcMar>
              <w:top w:w="0" w:type="dxa"/>
              <w:left w:w="108" w:type="dxa"/>
              <w:bottom w:w="0" w:type="dxa"/>
              <w:right w:w="108" w:type="dxa"/>
            </w:tcMar>
            <w:hideMark/>
          </w:tcPr>
          <w:p w14:paraId="1377336E"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5EFCCB4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(1,503)</w:t>
            </w:r>
          </w:p>
        </w:tc>
        <w:tc>
          <w:tcPr>
            <w:tcW w:w="46" w:type="dxa"/>
            <w:tcMar>
              <w:top w:w="0" w:type="dxa"/>
              <w:left w:w="108" w:type="dxa"/>
              <w:bottom w:w="0" w:type="dxa"/>
              <w:right w:w="108" w:type="dxa"/>
            </w:tcMar>
            <w:vAlign w:val="bottom"/>
            <w:hideMark/>
          </w:tcPr>
          <w:p w14:paraId="230ED469"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nil"/>
              <w:left w:val="nil"/>
              <w:bottom w:val="single" w:sz="8" w:space="0" w:color="auto"/>
              <w:right w:val="nil"/>
            </w:tcBorders>
            <w:tcMar>
              <w:top w:w="0" w:type="dxa"/>
              <w:left w:w="108" w:type="dxa"/>
              <w:bottom w:w="0" w:type="dxa"/>
              <w:right w:w="108" w:type="dxa"/>
            </w:tcMar>
            <w:vAlign w:val="center"/>
            <w:hideMark/>
          </w:tcPr>
          <w:p w14:paraId="0AF7786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(3,125)</w:t>
            </w:r>
          </w:p>
        </w:tc>
        <w:tc>
          <w:tcPr>
            <w:tcW w:w="209" w:type="dxa"/>
            <w:gridSpan w:val="2"/>
            <w:tcMar>
              <w:top w:w="0" w:type="dxa"/>
              <w:left w:w="108" w:type="dxa"/>
              <w:bottom w:w="0" w:type="dxa"/>
              <w:right w:w="108" w:type="dxa"/>
            </w:tcMar>
            <w:vAlign w:val="bottom"/>
            <w:hideMark/>
          </w:tcPr>
          <w:p w14:paraId="52D3642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EA8423C" w14:textId="77777777" w:rsidTr="00AE009D">
        <w:trPr>
          <w:trHeight w:val="275"/>
        </w:trPr>
        <w:tc>
          <w:tcPr>
            <w:tcW w:w="3263" w:type="dxa"/>
            <w:gridSpan w:val="2"/>
            <w:tcMar>
              <w:top w:w="0" w:type="dxa"/>
              <w:left w:w="108" w:type="dxa"/>
              <w:bottom w:w="0" w:type="dxa"/>
              <w:right w:w="108" w:type="dxa"/>
            </w:tcMar>
            <w:vAlign w:val="center"/>
            <w:hideMark/>
          </w:tcPr>
          <w:p w14:paraId="7277C2AE"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Operating profit</w:t>
            </w:r>
          </w:p>
        </w:tc>
        <w:tc>
          <w:tcPr>
            <w:tcW w:w="20" w:type="dxa"/>
            <w:tcMar>
              <w:top w:w="0" w:type="dxa"/>
              <w:left w:w="108" w:type="dxa"/>
              <w:bottom w:w="0" w:type="dxa"/>
              <w:right w:w="108" w:type="dxa"/>
            </w:tcMar>
            <w:vAlign w:val="bottom"/>
            <w:hideMark/>
          </w:tcPr>
          <w:p w14:paraId="7774841E"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467" w:type="dxa"/>
            <w:gridSpan w:val="2"/>
            <w:tcMar>
              <w:top w:w="0" w:type="dxa"/>
              <w:left w:w="108" w:type="dxa"/>
              <w:bottom w:w="0" w:type="dxa"/>
              <w:right w:w="108" w:type="dxa"/>
            </w:tcMar>
            <w:vAlign w:val="bottom"/>
            <w:hideMark/>
          </w:tcPr>
          <w:p w14:paraId="4BFD7D4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56BC6C9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(96)</w:t>
            </w:r>
          </w:p>
        </w:tc>
        <w:tc>
          <w:tcPr>
            <w:tcW w:w="42" w:type="dxa"/>
            <w:tcMar>
              <w:top w:w="0" w:type="dxa"/>
              <w:left w:w="108" w:type="dxa"/>
              <w:bottom w:w="0" w:type="dxa"/>
              <w:right w:w="108" w:type="dxa"/>
            </w:tcMar>
            <w:hideMark/>
          </w:tcPr>
          <w:p w14:paraId="159F3F4B"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nil"/>
              <w:right w:val="nil"/>
            </w:tcBorders>
            <w:tcMar>
              <w:top w:w="0" w:type="dxa"/>
              <w:left w:w="108" w:type="dxa"/>
              <w:bottom w:w="0" w:type="dxa"/>
              <w:right w:w="108" w:type="dxa"/>
            </w:tcMar>
            <w:vAlign w:val="center"/>
            <w:hideMark/>
          </w:tcPr>
          <w:p w14:paraId="194BD09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27</w:t>
            </w:r>
          </w:p>
        </w:tc>
        <w:tc>
          <w:tcPr>
            <w:tcW w:w="46" w:type="dxa"/>
            <w:tcMar>
              <w:top w:w="0" w:type="dxa"/>
              <w:left w:w="108" w:type="dxa"/>
              <w:bottom w:w="0" w:type="dxa"/>
              <w:right w:w="108" w:type="dxa"/>
            </w:tcMar>
            <w:vAlign w:val="bottom"/>
            <w:hideMark/>
          </w:tcPr>
          <w:p w14:paraId="0C8D7750"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2A26FEB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(211)</w:t>
            </w:r>
          </w:p>
        </w:tc>
        <w:tc>
          <w:tcPr>
            <w:tcW w:w="209" w:type="dxa"/>
            <w:gridSpan w:val="2"/>
            <w:tcMar>
              <w:top w:w="0" w:type="dxa"/>
              <w:left w:w="108" w:type="dxa"/>
              <w:bottom w:w="0" w:type="dxa"/>
              <w:right w:w="108" w:type="dxa"/>
            </w:tcMar>
            <w:vAlign w:val="bottom"/>
            <w:hideMark/>
          </w:tcPr>
          <w:p w14:paraId="3506BDB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4B849D2" w14:textId="77777777" w:rsidTr="00AE009D">
        <w:trPr>
          <w:trHeight w:val="289"/>
        </w:trPr>
        <w:tc>
          <w:tcPr>
            <w:tcW w:w="3263" w:type="dxa"/>
            <w:gridSpan w:val="2"/>
            <w:tcMar>
              <w:top w:w="0" w:type="dxa"/>
              <w:left w:w="108" w:type="dxa"/>
              <w:bottom w:w="0" w:type="dxa"/>
              <w:right w:w="108" w:type="dxa"/>
            </w:tcMar>
            <w:vAlign w:val="center"/>
            <w:hideMark/>
          </w:tcPr>
          <w:p w14:paraId="7801D933"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Finance costs</w:t>
            </w:r>
          </w:p>
        </w:tc>
        <w:tc>
          <w:tcPr>
            <w:tcW w:w="20" w:type="dxa"/>
            <w:tcMar>
              <w:top w:w="0" w:type="dxa"/>
              <w:left w:w="108" w:type="dxa"/>
              <w:bottom w:w="0" w:type="dxa"/>
              <w:right w:w="108" w:type="dxa"/>
            </w:tcMar>
            <w:vAlign w:val="bottom"/>
            <w:hideMark/>
          </w:tcPr>
          <w:p w14:paraId="79F67ED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006C43E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5475303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w:t>
            </w:r>
          </w:p>
        </w:tc>
        <w:tc>
          <w:tcPr>
            <w:tcW w:w="42" w:type="dxa"/>
            <w:tcMar>
              <w:top w:w="0" w:type="dxa"/>
              <w:left w:w="108" w:type="dxa"/>
              <w:bottom w:w="0" w:type="dxa"/>
              <w:right w:w="108" w:type="dxa"/>
            </w:tcMar>
            <w:hideMark/>
          </w:tcPr>
          <w:p w14:paraId="2EC74BCE"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Mar>
              <w:top w:w="0" w:type="dxa"/>
              <w:left w:w="108" w:type="dxa"/>
              <w:bottom w:w="0" w:type="dxa"/>
              <w:right w:w="108" w:type="dxa"/>
            </w:tcMar>
            <w:vAlign w:val="center"/>
            <w:hideMark/>
          </w:tcPr>
          <w:p w14:paraId="2EB3E80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(7)</w:t>
            </w:r>
          </w:p>
        </w:tc>
        <w:tc>
          <w:tcPr>
            <w:tcW w:w="46" w:type="dxa"/>
            <w:tcMar>
              <w:top w:w="0" w:type="dxa"/>
              <w:left w:w="108" w:type="dxa"/>
              <w:bottom w:w="0" w:type="dxa"/>
              <w:right w:w="108" w:type="dxa"/>
            </w:tcMar>
            <w:vAlign w:val="bottom"/>
            <w:hideMark/>
          </w:tcPr>
          <w:p w14:paraId="46D8B48C"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0293499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(14)</w:t>
            </w:r>
          </w:p>
        </w:tc>
        <w:tc>
          <w:tcPr>
            <w:tcW w:w="209" w:type="dxa"/>
            <w:gridSpan w:val="2"/>
            <w:tcMar>
              <w:top w:w="0" w:type="dxa"/>
              <w:left w:w="108" w:type="dxa"/>
              <w:bottom w:w="0" w:type="dxa"/>
              <w:right w:w="108" w:type="dxa"/>
            </w:tcMar>
            <w:vAlign w:val="bottom"/>
            <w:hideMark/>
          </w:tcPr>
          <w:p w14:paraId="6779BF9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541C595" w14:textId="77777777" w:rsidTr="00AE009D">
        <w:trPr>
          <w:trHeight w:val="289"/>
        </w:trPr>
        <w:tc>
          <w:tcPr>
            <w:tcW w:w="3263" w:type="dxa"/>
            <w:gridSpan w:val="2"/>
            <w:tcMar>
              <w:top w:w="0" w:type="dxa"/>
              <w:left w:w="108" w:type="dxa"/>
              <w:bottom w:w="0" w:type="dxa"/>
              <w:right w:w="108" w:type="dxa"/>
            </w:tcMar>
            <w:vAlign w:val="center"/>
            <w:hideMark/>
          </w:tcPr>
          <w:p w14:paraId="6CF4C3B8"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Exceptional item</w:t>
            </w:r>
          </w:p>
        </w:tc>
        <w:tc>
          <w:tcPr>
            <w:tcW w:w="20" w:type="dxa"/>
            <w:tcMar>
              <w:top w:w="0" w:type="dxa"/>
              <w:left w:w="108" w:type="dxa"/>
              <w:bottom w:w="0" w:type="dxa"/>
              <w:right w:w="108" w:type="dxa"/>
            </w:tcMar>
            <w:vAlign w:val="bottom"/>
            <w:hideMark/>
          </w:tcPr>
          <w:p w14:paraId="05056029"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3A46B12E"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Mar>
              <w:top w:w="0" w:type="dxa"/>
              <w:left w:w="108" w:type="dxa"/>
              <w:bottom w:w="0" w:type="dxa"/>
              <w:right w:w="108" w:type="dxa"/>
            </w:tcMar>
            <w:vAlign w:val="center"/>
            <w:hideMark/>
          </w:tcPr>
          <w:p w14:paraId="4507F29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42" w:type="dxa"/>
            <w:tcMar>
              <w:top w:w="0" w:type="dxa"/>
              <w:left w:w="108" w:type="dxa"/>
              <w:bottom w:w="0" w:type="dxa"/>
              <w:right w:w="108" w:type="dxa"/>
            </w:tcMar>
            <w:hideMark/>
          </w:tcPr>
          <w:p w14:paraId="5CF2BCF5"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6747F9F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46" w:type="dxa"/>
            <w:tcMar>
              <w:top w:w="0" w:type="dxa"/>
              <w:left w:w="108" w:type="dxa"/>
              <w:bottom w:w="0" w:type="dxa"/>
              <w:right w:w="108" w:type="dxa"/>
            </w:tcMar>
            <w:vAlign w:val="bottom"/>
            <w:hideMark/>
          </w:tcPr>
          <w:p w14:paraId="4F4E49D5"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Mar>
              <w:top w:w="0" w:type="dxa"/>
              <w:left w:w="108" w:type="dxa"/>
              <w:bottom w:w="0" w:type="dxa"/>
              <w:right w:w="108" w:type="dxa"/>
            </w:tcMar>
            <w:vAlign w:val="center"/>
            <w:hideMark/>
          </w:tcPr>
          <w:p w14:paraId="097351F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82</w:t>
            </w:r>
          </w:p>
        </w:tc>
        <w:tc>
          <w:tcPr>
            <w:tcW w:w="209" w:type="dxa"/>
            <w:gridSpan w:val="2"/>
            <w:tcMar>
              <w:top w:w="0" w:type="dxa"/>
              <w:left w:w="108" w:type="dxa"/>
              <w:bottom w:w="0" w:type="dxa"/>
              <w:right w:w="108" w:type="dxa"/>
            </w:tcMar>
            <w:vAlign w:val="bottom"/>
            <w:hideMark/>
          </w:tcPr>
          <w:p w14:paraId="281B2AB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AA952E4" w14:textId="77777777" w:rsidTr="00AE009D">
        <w:trPr>
          <w:trHeight w:val="289"/>
        </w:trPr>
        <w:tc>
          <w:tcPr>
            <w:tcW w:w="3263" w:type="dxa"/>
            <w:gridSpan w:val="2"/>
            <w:tcMar>
              <w:top w:w="0" w:type="dxa"/>
              <w:left w:w="108" w:type="dxa"/>
              <w:bottom w:w="0" w:type="dxa"/>
              <w:right w:w="108" w:type="dxa"/>
            </w:tcMar>
            <w:vAlign w:val="center"/>
            <w:hideMark/>
          </w:tcPr>
          <w:p w14:paraId="3745B39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Profit on ordinary activities before taxation</w:t>
            </w:r>
          </w:p>
        </w:tc>
        <w:tc>
          <w:tcPr>
            <w:tcW w:w="20" w:type="dxa"/>
            <w:tcMar>
              <w:top w:w="0" w:type="dxa"/>
              <w:left w:w="108" w:type="dxa"/>
              <w:bottom w:w="0" w:type="dxa"/>
              <w:right w:w="108" w:type="dxa"/>
            </w:tcMar>
            <w:vAlign w:val="bottom"/>
            <w:hideMark/>
          </w:tcPr>
          <w:p w14:paraId="0807156D"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467" w:type="dxa"/>
            <w:gridSpan w:val="2"/>
            <w:tcMar>
              <w:top w:w="0" w:type="dxa"/>
              <w:left w:w="108" w:type="dxa"/>
              <w:bottom w:w="0" w:type="dxa"/>
              <w:right w:w="108" w:type="dxa"/>
            </w:tcMar>
            <w:vAlign w:val="bottom"/>
            <w:hideMark/>
          </w:tcPr>
          <w:p w14:paraId="12CDB63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14:paraId="78D4179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42" w:type="dxa"/>
            <w:tcMar>
              <w:top w:w="0" w:type="dxa"/>
              <w:left w:w="108" w:type="dxa"/>
              <w:bottom w:w="0" w:type="dxa"/>
              <w:right w:w="108" w:type="dxa"/>
            </w:tcMar>
            <w:hideMark/>
          </w:tcPr>
          <w:p w14:paraId="7B9B1F13"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090426E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20</w:t>
            </w:r>
          </w:p>
        </w:tc>
        <w:tc>
          <w:tcPr>
            <w:tcW w:w="46" w:type="dxa"/>
            <w:tcMar>
              <w:top w:w="0" w:type="dxa"/>
              <w:left w:w="108" w:type="dxa"/>
              <w:bottom w:w="0" w:type="dxa"/>
              <w:right w:w="108" w:type="dxa"/>
            </w:tcMar>
            <w:vAlign w:val="bottom"/>
            <w:hideMark/>
          </w:tcPr>
          <w:p w14:paraId="7F54F6EE"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14:paraId="7991FD3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(143)</w:t>
            </w:r>
          </w:p>
        </w:tc>
        <w:tc>
          <w:tcPr>
            <w:tcW w:w="209" w:type="dxa"/>
            <w:gridSpan w:val="2"/>
            <w:tcMar>
              <w:top w:w="0" w:type="dxa"/>
              <w:left w:w="108" w:type="dxa"/>
              <w:bottom w:w="0" w:type="dxa"/>
              <w:right w:w="108" w:type="dxa"/>
            </w:tcMar>
            <w:vAlign w:val="bottom"/>
            <w:hideMark/>
          </w:tcPr>
          <w:p w14:paraId="70AB675D"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FCEAC6F" w14:textId="77777777" w:rsidTr="00AE009D">
        <w:trPr>
          <w:trHeight w:val="289"/>
        </w:trPr>
        <w:tc>
          <w:tcPr>
            <w:tcW w:w="3263" w:type="dxa"/>
            <w:gridSpan w:val="2"/>
            <w:tcMar>
              <w:top w:w="0" w:type="dxa"/>
              <w:left w:w="108" w:type="dxa"/>
              <w:bottom w:w="0" w:type="dxa"/>
              <w:right w:w="108" w:type="dxa"/>
            </w:tcMar>
            <w:vAlign w:val="center"/>
            <w:hideMark/>
          </w:tcPr>
          <w:p w14:paraId="4CDDFBA0"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Tax expense</w:t>
            </w:r>
          </w:p>
        </w:tc>
        <w:tc>
          <w:tcPr>
            <w:tcW w:w="20" w:type="dxa"/>
            <w:tcMar>
              <w:top w:w="0" w:type="dxa"/>
              <w:left w:w="108" w:type="dxa"/>
              <w:bottom w:w="0" w:type="dxa"/>
              <w:right w:w="108" w:type="dxa"/>
            </w:tcMar>
            <w:vAlign w:val="bottom"/>
            <w:hideMark/>
          </w:tcPr>
          <w:p w14:paraId="7B0AFA4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6F301E6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nil"/>
              <w:left w:val="nil"/>
              <w:bottom w:val="single" w:sz="8" w:space="0" w:color="auto"/>
              <w:right w:val="nil"/>
            </w:tcBorders>
            <w:tcMar>
              <w:top w:w="0" w:type="dxa"/>
              <w:left w:w="108" w:type="dxa"/>
              <w:bottom w:w="0" w:type="dxa"/>
              <w:right w:w="108" w:type="dxa"/>
            </w:tcMar>
            <w:vAlign w:val="center"/>
            <w:hideMark/>
          </w:tcPr>
          <w:p w14:paraId="240B40A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42" w:type="dxa"/>
            <w:tcMar>
              <w:top w:w="0" w:type="dxa"/>
              <w:left w:w="108" w:type="dxa"/>
              <w:bottom w:w="0" w:type="dxa"/>
              <w:right w:w="108" w:type="dxa"/>
            </w:tcMar>
            <w:hideMark/>
          </w:tcPr>
          <w:p w14:paraId="5EBBAAB8"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single" w:sz="8" w:space="0" w:color="auto"/>
              <w:right w:val="nil"/>
            </w:tcBorders>
            <w:tcMar>
              <w:top w:w="0" w:type="dxa"/>
              <w:left w:w="108" w:type="dxa"/>
              <w:bottom w:w="0" w:type="dxa"/>
              <w:right w:w="108" w:type="dxa"/>
            </w:tcMar>
            <w:vAlign w:val="center"/>
            <w:hideMark/>
          </w:tcPr>
          <w:p w14:paraId="6091383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 </w:t>
            </w:r>
          </w:p>
        </w:tc>
        <w:tc>
          <w:tcPr>
            <w:tcW w:w="46" w:type="dxa"/>
            <w:tcMar>
              <w:top w:w="0" w:type="dxa"/>
              <w:left w:w="108" w:type="dxa"/>
              <w:bottom w:w="0" w:type="dxa"/>
              <w:right w:w="108" w:type="dxa"/>
            </w:tcMar>
            <w:vAlign w:val="bottom"/>
            <w:hideMark/>
          </w:tcPr>
          <w:p w14:paraId="3E25D0D2"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nil"/>
              <w:left w:val="nil"/>
              <w:bottom w:val="single" w:sz="8" w:space="0" w:color="auto"/>
              <w:right w:val="nil"/>
            </w:tcBorders>
            <w:tcMar>
              <w:top w:w="0" w:type="dxa"/>
              <w:left w:w="108" w:type="dxa"/>
              <w:bottom w:w="0" w:type="dxa"/>
              <w:right w:w="108" w:type="dxa"/>
            </w:tcMar>
            <w:vAlign w:val="center"/>
            <w:hideMark/>
          </w:tcPr>
          <w:p w14:paraId="4BC8EF6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 </w:t>
            </w:r>
          </w:p>
        </w:tc>
        <w:tc>
          <w:tcPr>
            <w:tcW w:w="209" w:type="dxa"/>
            <w:gridSpan w:val="2"/>
            <w:tcMar>
              <w:top w:w="0" w:type="dxa"/>
              <w:left w:w="108" w:type="dxa"/>
              <w:bottom w:w="0" w:type="dxa"/>
              <w:right w:w="108" w:type="dxa"/>
            </w:tcMar>
            <w:vAlign w:val="bottom"/>
            <w:hideMark/>
          </w:tcPr>
          <w:p w14:paraId="7694A6C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5034FF3" w14:textId="77777777" w:rsidTr="00AE009D">
        <w:trPr>
          <w:trHeight w:val="289"/>
        </w:trPr>
        <w:tc>
          <w:tcPr>
            <w:tcW w:w="3263" w:type="dxa"/>
            <w:gridSpan w:val="2"/>
            <w:tcMar>
              <w:top w:w="0" w:type="dxa"/>
              <w:left w:w="108" w:type="dxa"/>
              <w:bottom w:w="0" w:type="dxa"/>
              <w:right w:w="108" w:type="dxa"/>
            </w:tcMar>
            <w:vAlign w:val="center"/>
            <w:hideMark/>
          </w:tcPr>
          <w:p w14:paraId="76B9E248"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Profit for the period attributable to equity shareholders</w:t>
            </w:r>
          </w:p>
        </w:tc>
        <w:tc>
          <w:tcPr>
            <w:tcW w:w="20" w:type="dxa"/>
            <w:tcMar>
              <w:top w:w="0" w:type="dxa"/>
              <w:left w:w="108" w:type="dxa"/>
              <w:bottom w:w="0" w:type="dxa"/>
              <w:right w:w="108" w:type="dxa"/>
            </w:tcMar>
            <w:vAlign w:val="bottom"/>
            <w:hideMark/>
          </w:tcPr>
          <w:p w14:paraId="542ADAB1"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0B149FEE"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211" w:type="dxa"/>
            <w:gridSpan w:val="3"/>
            <w:tcBorders>
              <w:top w:val="nil"/>
              <w:left w:val="nil"/>
              <w:bottom w:val="double" w:sz="6" w:space="0" w:color="auto"/>
              <w:right w:val="nil"/>
            </w:tcBorders>
            <w:tcMar>
              <w:top w:w="0" w:type="dxa"/>
              <w:left w:w="108" w:type="dxa"/>
              <w:bottom w:w="0" w:type="dxa"/>
              <w:right w:w="108" w:type="dxa"/>
            </w:tcMar>
            <w:vAlign w:val="center"/>
            <w:hideMark/>
          </w:tcPr>
          <w:p w14:paraId="314828F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42" w:type="dxa"/>
            <w:tcMar>
              <w:top w:w="0" w:type="dxa"/>
              <w:left w:w="108" w:type="dxa"/>
              <w:bottom w:w="0" w:type="dxa"/>
              <w:right w:w="108" w:type="dxa"/>
            </w:tcMar>
            <w:hideMark/>
          </w:tcPr>
          <w:p w14:paraId="3857FB0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06" w:type="dxa"/>
            <w:gridSpan w:val="5"/>
            <w:tcBorders>
              <w:top w:val="nil"/>
              <w:left w:val="nil"/>
              <w:bottom w:val="double" w:sz="6" w:space="0" w:color="auto"/>
              <w:right w:val="nil"/>
            </w:tcBorders>
            <w:tcMar>
              <w:top w:w="0" w:type="dxa"/>
              <w:left w:w="108" w:type="dxa"/>
              <w:bottom w:w="0" w:type="dxa"/>
              <w:right w:w="108" w:type="dxa"/>
            </w:tcMar>
            <w:vAlign w:val="center"/>
            <w:hideMark/>
          </w:tcPr>
          <w:p w14:paraId="2245DB9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c>
          <w:tcPr>
            <w:tcW w:w="46" w:type="dxa"/>
            <w:tcMar>
              <w:top w:w="0" w:type="dxa"/>
              <w:left w:w="108" w:type="dxa"/>
              <w:bottom w:w="0" w:type="dxa"/>
              <w:right w:w="108" w:type="dxa"/>
            </w:tcMar>
            <w:vAlign w:val="bottom"/>
            <w:hideMark/>
          </w:tcPr>
          <w:p w14:paraId="6D06E5FB"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23" w:type="dxa"/>
            <w:gridSpan w:val="5"/>
            <w:tcBorders>
              <w:top w:val="nil"/>
              <w:left w:val="nil"/>
              <w:bottom w:val="double" w:sz="6" w:space="0" w:color="auto"/>
              <w:right w:val="nil"/>
            </w:tcBorders>
            <w:tcMar>
              <w:top w:w="0" w:type="dxa"/>
              <w:left w:w="108" w:type="dxa"/>
              <w:bottom w:w="0" w:type="dxa"/>
              <w:right w:w="108" w:type="dxa"/>
            </w:tcMar>
            <w:vAlign w:val="center"/>
            <w:hideMark/>
          </w:tcPr>
          <w:p w14:paraId="3CB1C71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(151)</w:t>
            </w:r>
          </w:p>
        </w:tc>
        <w:tc>
          <w:tcPr>
            <w:tcW w:w="209" w:type="dxa"/>
            <w:gridSpan w:val="2"/>
            <w:tcMar>
              <w:top w:w="0" w:type="dxa"/>
              <w:left w:w="108" w:type="dxa"/>
              <w:bottom w:w="0" w:type="dxa"/>
              <w:right w:w="108" w:type="dxa"/>
            </w:tcMar>
            <w:vAlign w:val="bottom"/>
            <w:hideMark/>
          </w:tcPr>
          <w:p w14:paraId="0B30AA5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AAC9EC6" w14:textId="77777777" w:rsidTr="00AE009D">
        <w:trPr>
          <w:trHeight w:val="289"/>
        </w:trPr>
        <w:tc>
          <w:tcPr>
            <w:tcW w:w="3263" w:type="dxa"/>
            <w:gridSpan w:val="2"/>
            <w:tcMar>
              <w:top w:w="0" w:type="dxa"/>
              <w:left w:w="108" w:type="dxa"/>
              <w:bottom w:w="0" w:type="dxa"/>
              <w:right w:w="108" w:type="dxa"/>
            </w:tcMar>
            <w:vAlign w:val="bottom"/>
            <w:hideMark/>
          </w:tcPr>
          <w:p w14:paraId="4B1F0BA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010EA82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467" w:type="dxa"/>
            <w:gridSpan w:val="2"/>
            <w:tcMar>
              <w:top w:w="0" w:type="dxa"/>
              <w:left w:w="108" w:type="dxa"/>
              <w:bottom w:w="0" w:type="dxa"/>
              <w:right w:w="108" w:type="dxa"/>
            </w:tcMar>
            <w:vAlign w:val="bottom"/>
            <w:hideMark/>
          </w:tcPr>
          <w:p w14:paraId="2A550F79"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47" w:type="dxa"/>
            <w:gridSpan w:val="2"/>
            <w:tcMar>
              <w:top w:w="0" w:type="dxa"/>
              <w:left w:w="108" w:type="dxa"/>
              <w:bottom w:w="0" w:type="dxa"/>
              <w:right w:w="108" w:type="dxa"/>
            </w:tcMar>
            <w:vAlign w:val="bottom"/>
            <w:hideMark/>
          </w:tcPr>
          <w:p w14:paraId="1C3F56B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06" w:type="dxa"/>
            <w:gridSpan w:val="4"/>
            <w:tcMar>
              <w:top w:w="0" w:type="dxa"/>
              <w:left w:w="108" w:type="dxa"/>
              <w:bottom w:w="0" w:type="dxa"/>
              <w:right w:w="108" w:type="dxa"/>
            </w:tcMar>
            <w:hideMark/>
          </w:tcPr>
          <w:p w14:paraId="44EFAEC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310" w:type="dxa"/>
            <w:tcMar>
              <w:top w:w="0" w:type="dxa"/>
              <w:left w:w="108" w:type="dxa"/>
              <w:bottom w:w="0" w:type="dxa"/>
              <w:right w:w="108" w:type="dxa"/>
            </w:tcMar>
            <w:hideMark/>
          </w:tcPr>
          <w:p w14:paraId="3A119C4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47" w:type="dxa"/>
            <w:gridSpan w:val="3"/>
            <w:tcMar>
              <w:top w:w="0" w:type="dxa"/>
              <w:left w:w="108" w:type="dxa"/>
              <w:bottom w:w="0" w:type="dxa"/>
              <w:right w:w="108" w:type="dxa"/>
            </w:tcMar>
            <w:vAlign w:val="bottom"/>
            <w:hideMark/>
          </w:tcPr>
          <w:p w14:paraId="50A5B2AD"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531" w:type="dxa"/>
            <w:gridSpan w:val="2"/>
            <w:tcBorders>
              <w:top w:val="nil"/>
              <w:left w:val="nil"/>
              <w:bottom w:val="nil"/>
              <w:right w:val="nil"/>
            </w:tcBorders>
            <w:tcMar>
              <w:top w:w="0" w:type="dxa"/>
              <w:left w:w="108" w:type="dxa"/>
              <w:bottom w:w="0" w:type="dxa"/>
              <w:right w:w="108" w:type="dxa"/>
            </w:tcMar>
            <w:vAlign w:val="bottom"/>
            <w:hideMark/>
          </w:tcPr>
          <w:p w14:paraId="7FC470F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0" w:type="auto"/>
            <w:gridSpan w:val="5"/>
            <w:tcBorders>
              <w:top w:val="nil"/>
              <w:left w:val="nil"/>
              <w:bottom w:val="nil"/>
              <w:right w:val="nil"/>
            </w:tcBorders>
            <w:vAlign w:val="center"/>
            <w:hideMark/>
          </w:tcPr>
          <w:p w14:paraId="2E2F611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C25D508" w14:textId="77777777" w:rsidTr="00AE009D">
        <w:trPr>
          <w:trHeight w:val="275"/>
        </w:trPr>
        <w:tc>
          <w:tcPr>
            <w:tcW w:w="3263" w:type="dxa"/>
            <w:gridSpan w:val="2"/>
            <w:tcMar>
              <w:top w:w="0" w:type="dxa"/>
              <w:left w:w="108" w:type="dxa"/>
              <w:bottom w:w="0" w:type="dxa"/>
              <w:right w:w="108" w:type="dxa"/>
            </w:tcMar>
            <w:vAlign w:val="center"/>
            <w:hideMark/>
          </w:tcPr>
          <w:p w14:paraId="7B53EF96"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(Loss)/Profit per share </w:t>
            </w:r>
          </w:p>
        </w:tc>
        <w:tc>
          <w:tcPr>
            <w:tcW w:w="20" w:type="dxa"/>
            <w:tcMar>
              <w:top w:w="0" w:type="dxa"/>
              <w:left w:w="108" w:type="dxa"/>
              <w:bottom w:w="0" w:type="dxa"/>
              <w:right w:w="108" w:type="dxa"/>
            </w:tcMar>
            <w:vAlign w:val="bottom"/>
            <w:hideMark/>
          </w:tcPr>
          <w:p w14:paraId="5E1B4FA4"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467" w:type="dxa"/>
            <w:gridSpan w:val="2"/>
            <w:tcMar>
              <w:top w:w="0" w:type="dxa"/>
              <w:left w:w="108" w:type="dxa"/>
              <w:bottom w:w="0" w:type="dxa"/>
              <w:right w:w="108" w:type="dxa"/>
            </w:tcMar>
            <w:vAlign w:val="bottom"/>
            <w:hideMark/>
          </w:tcPr>
          <w:p w14:paraId="58CB340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47" w:type="dxa"/>
            <w:gridSpan w:val="2"/>
            <w:tcMar>
              <w:top w:w="0" w:type="dxa"/>
              <w:left w:w="108" w:type="dxa"/>
              <w:bottom w:w="0" w:type="dxa"/>
              <w:right w:w="108" w:type="dxa"/>
            </w:tcMar>
            <w:vAlign w:val="bottom"/>
            <w:hideMark/>
          </w:tcPr>
          <w:p w14:paraId="069898A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06" w:type="dxa"/>
            <w:gridSpan w:val="4"/>
            <w:tcMar>
              <w:top w:w="0" w:type="dxa"/>
              <w:left w:w="108" w:type="dxa"/>
              <w:bottom w:w="0" w:type="dxa"/>
              <w:right w:w="108" w:type="dxa"/>
            </w:tcMar>
            <w:hideMark/>
          </w:tcPr>
          <w:p w14:paraId="27255F3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310" w:type="dxa"/>
            <w:tcMar>
              <w:top w:w="0" w:type="dxa"/>
              <w:left w:w="108" w:type="dxa"/>
              <w:bottom w:w="0" w:type="dxa"/>
              <w:right w:w="108" w:type="dxa"/>
            </w:tcMar>
            <w:hideMark/>
          </w:tcPr>
          <w:p w14:paraId="5FC38AD0"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47" w:type="dxa"/>
            <w:gridSpan w:val="3"/>
            <w:tcMar>
              <w:top w:w="0" w:type="dxa"/>
              <w:left w:w="108" w:type="dxa"/>
              <w:bottom w:w="0" w:type="dxa"/>
              <w:right w:w="108" w:type="dxa"/>
            </w:tcMar>
            <w:vAlign w:val="bottom"/>
            <w:hideMark/>
          </w:tcPr>
          <w:p w14:paraId="6BB13DB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531" w:type="dxa"/>
            <w:gridSpan w:val="2"/>
            <w:tcMar>
              <w:top w:w="0" w:type="dxa"/>
              <w:left w:w="108" w:type="dxa"/>
              <w:bottom w:w="0" w:type="dxa"/>
              <w:right w:w="108" w:type="dxa"/>
            </w:tcMar>
            <w:vAlign w:val="bottom"/>
            <w:hideMark/>
          </w:tcPr>
          <w:p w14:paraId="099A058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0" w:type="auto"/>
            <w:gridSpan w:val="5"/>
            <w:tcBorders>
              <w:top w:val="nil"/>
              <w:left w:val="nil"/>
              <w:bottom w:val="nil"/>
              <w:right w:val="nil"/>
            </w:tcBorders>
            <w:vAlign w:val="center"/>
            <w:hideMark/>
          </w:tcPr>
          <w:p w14:paraId="74D3CB29"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2DA0464" w14:textId="77777777" w:rsidTr="00AE009D">
        <w:trPr>
          <w:trHeight w:val="275"/>
        </w:trPr>
        <w:tc>
          <w:tcPr>
            <w:tcW w:w="3053" w:type="dxa"/>
            <w:tcMar>
              <w:top w:w="0" w:type="dxa"/>
              <w:left w:w="108" w:type="dxa"/>
              <w:bottom w:w="0" w:type="dxa"/>
              <w:right w:w="108" w:type="dxa"/>
            </w:tcMar>
            <w:vAlign w:val="center"/>
            <w:hideMark/>
          </w:tcPr>
          <w:p w14:paraId="526A9EE6"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Basic and diluted profit per share from continuing operations</w:t>
            </w:r>
          </w:p>
        </w:tc>
        <w:tc>
          <w:tcPr>
            <w:tcW w:w="467" w:type="dxa"/>
            <w:gridSpan w:val="3"/>
            <w:tcMar>
              <w:top w:w="0" w:type="dxa"/>
              <w:left w:w="108" w:type="dxa"/>
              <w:bottom w:w="0" w:type="dxa"/>
              <w:right w:w="108" w:type="dxa"/>
            </w:tcMar>
            <w:vAlign w:val="center"/>
            <w:hideMark/>
          </w:tcPr>
          <w:p w14:paraId="5F5EB54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657" w:type="dxa"/>
            <w:gridSpan w:val="4"/>
            <w:tcMar>
              <w:top w:w="0" w:type="dxa"/>
              <w:left w:w="108" w:type="dxa"/>
              <w:bottom w:w="0" w:type="dxa"/>
              <w:right w:w="108" w:type="dxa"/>
            </w:tcMar>
            <w:vAlign w:val="center"/>
            <w:hideMark/>
          </w:tcPr>
          <w:p w14:paraId="4F5DF2FC"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(0.08) p</w:t>
            </w:r>
          </w:p>
        </w:tc>
        <w:tc>
          <w:tcPr>
            <w:tcW w:w="42" w:type="dxa"/>
            <w:tcMar>
              <w:top w:w="0" w:type="dxa"/>
              <w:left w:w="108" w:type="dxa"/>
              <w:bottom w:w="0" w:type="dxa"/>
              <w:right w:w="108" w:type="dxa"/>
            </w:tcMar>
            <w:hideMark/>
          </w:tcPr>
          <w:p w14:paraId="623F873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3" w:type="dxa"/>
            <w:gridSpan w:val="4"/>
            <w:tcMar>
              <w:top w:w="0" w:type="dxa"/>
              <w:left w:w="108" w:type="dxa"/>
              <w:bottom w:w="0" w:type="dxa"/>
              <w:right w:w="108" w:type="dxa"/>
            </w:tcMar>
            <w:vAlign w:val="center"/>
            <w:hideMark/>
          </w:tcPr>
          <w:p w14:paraId="3A33F2E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0.01 p</w:t>
            </w:r>
          </w:p>
        </w:tc>
        <w:tc>
          <w:tcPr>
            <w:tcW w:w="339" w:type="dxa"/>
            <w:gridSpan w:val="2"/>
            <w:tcMar>
              <w:top w:w="0" w:type="dxa"/>
              <w:left w:w="108" w:type="dxa"/>
              <w:bottom w:w="0" w:type="dxa"/>
              <w:right w:w="108" w:type="dxa"/>
            </w:tcMar>
            <w:vAlign w:val="bottom"/>
            <w:hideMark/>
          </w:tcPr>
          <w:p w14:paraId="75FA1CD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33" w:type="dxa"/>
            <w:gridSpan w:val="4"/>
            <w:tcMar>
              <w:top w:w="0" w:type="dxa"/>
              <w:left w:w="108" w:type="dxa"/>
              <w:bottom w:w="0" w:type="dxa"/>
              <w:right w:w="108" w:type="dxa"/>
            </w:tcMar>
            <w:vAlign w:val="center"/>
            <w:hideMark/>
          </w:tcPr>
          <w:p w14:paraId="17309822" w14:textId="77777777" w:rsidR="00AE009D" w:rsidRPr="00AE009D" w:rsidRDefault="00AE009D" w:rsidP="00AE009D">
            <w:pPr>
              <w:ind w:right="-120"/>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(0.13) p</w:t>
            </w:r>
          </w:p>
        </w:tc>
        <w:tc>
          <w:tcPr>
            <w:tcW w:w="357" w:type="dxa"/>
            <w:gridSpan w:val="2"/>
            <w:tcMar>
              <w:top w:w="0" w:type="dxa"/>
              <w:left w:w="108" w:type="dxa"/>
              <w:bottom w:w="0" w:type="dxa"/>
              <w:right w:w="108" w:type="dxa"/>
            </w:tcMar>
            <w:vAlign w:val="bottom"/>
            <w:hideMark/>
          </w:tcPr>
          <w:p w14:paraId="3E48FCE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0" w:type="auto"/>
            <w:tcBorders>
              <w:top w:val="nil"/>
              <w:left w:val="nil"/>
              <w:bottom w:val="nil"/>
              <w:right w:val="nil"/>
            </w:tcBorders>
            <w:vAlign w:val="center"/>
            <w:hideMark/>
          </w:tcPr>
          <w:p w14:paraId="111C399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DFBCA6D" w14:textId="77777777" w:rsidTr="00AE009D">
        <w:tc>
          <w:tcPr>
            <w:tcW w:w="0" w:type="auto"/>
            <w:tcBorders>
              <w:top w:val="nil"/>
              <w:left w:val="nil"/>
              <w:bottom w:val="nil"/>
              <w:right w:val="nil"/>
            </w:tcBorders>
            <w:vAlign w:val="center"/>
            <w:hideMark/>
          </w:tcPr>
          <w:p w14:paraId="00E71C17"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3D2D54D5"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F1C3BE1"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4931D891"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184E0480"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40F6378"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5D679236"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6961147B"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4C5B9DFB"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71C88437"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3485309C"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74A6A99C"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38C5B6D0"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14032E32"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590FE577"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51E2F400"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AB781D0"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3CFBCBEC"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22CB01E4"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6114438B"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617022C8"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25F33317"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r>
    </w:tbl>
    <w:p w14:paraId="3F91A5F8" w14:textId="77777777" w:rsidR="00AE009D" w:rsidRPr="00AE009D" w:rsidRDefault="00AE009D" w:rsidP="00AE009D">
      <w:pPr>
        <w:rPr>
          <w:rFonts w:ascii="Calibri" w:eastAsia="Times New Roman" w:hAnsi="Calibri" w:cs="Calibri"/>
          <w:i/>
          <w:iCs/>
          <w:color w:val="000000"/>
          <w:lang w:eastAsia="en-GB"/>
        </w:rPr>
      </w:pPr>
      <w:r w:rsidRPr="00AE009D">
        <w:rPr>
          <w:rFonts w:ascii="Arial" w:eastAsia="Times New Roman" w:hAnsi="Arial" w:cs="Arial"/>
          <w:i/>
          <w:iCs/>
          <w:color w:val="000000"/>
          <w:sz w:val="20"/>
          <w:szCs w:val="20"/>
          <w:lang w:eastAsia="en-GB"/>
        </w:rPr>
        <w:t> </w:t>
      </w:r>
    </w:p>
    <w:p w14:paraId="5198E400" w14:textId="77777777" w:rsidR="00AE009D" w:rsidRPr="00AE009D" w:rsidRDefault="00AE009D" w:rsidP="00AE009D">
      <w:pPr>
        <w:rPr>
          <w:rFonts w:ascii="Calibri" w:eastAsia="Times New Roman" w:hAnsi="Calibri" w:cs="Calibri"/>
          <w:i/>
          <w:iCs/>
          <w:color w:val="000000"/>
          <w:lang w:eastAsia="en-GB"/>
        </w:rPr>
      </w:pPr>
      <w:r w:rsidRPr="00AE009D">
        <w:rPr>
          <w:rFonts w:ascii="Arial" w:eastAsia="Times New Roman" w:hAnsi="Arial" w:cs="Arial"/>
          <w:i/>
          <w:iCs/>
          <w:color w:val="000000"/>
          <w:sz w:val="20"/>
          <w:szCs w:val="20"/>
          <w:lang w:eastAsia="en-GB"/>
        </w:rPr>
        <w:t> </w:t>
      </w:r>
    </w:p>
    <w:p w14:paraId="716FA3B9"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9498" w:type="dxa"/>
        <w:tblInd w:w="-108" w:type="dxa"/>
        <w:tblCellMar>
          <w:left w:w="0" w:type="dxa"/>
          <w:right w:w="0" w:type="dxa"/>
        </w:tblCellMar>
        <w:tblLook w:val="04A0" w:firstRow="1" w:lastRow="0" w:firstColumn="1" w:lastColumn="0" w:noHBand="0" w:noVBand="1"/>
      </w:tblPr>
      <w:tblGrid>
        <w:gridCol w:w="4189"/>
        <w:gridCol w:w="287"/>
        <w:gridCol w:w="463"/>
        <w:gridCol w:w="1263"/>
        <w:gridCol w:w="287"/>
        <w:gridCol w:w="1193"/>
        <w:gridCol w:w="287"/>
        <w:gridCol w:w="1242"/>
        <w:gridCol w:w="287"/>
      </w:tblGrid>
      <w:tr w:rsidR="00AE009D" w:rsidRPr="00AE009D" w14:paraId="02CBE5E6" w14:textId="77777777" w:rsidTr="00AE009D">
        <w:trPr>
          <w:trHeight w:val="346"/>
        </w:trPr>
        <w:tc>
          <w:tcPr>
            <w:tcW w:w="4406" w:type="dxa"/>
            <w:gridSpan w:val="3"/>
            <w:tcMar>
              <w:top w:w="0" w:type="dxa"/>
              <w:left w:w="108" w:type="dxa"/>
              <w:bottom w:w="0" w:type="dxa"/>
              <w:right w:w="108" w:type="dxa"/>
            </w:tcMar>
            <w:vAlign w:val="center"/>
            <w:hideMark/>
          </w:tcPr>
          <w:p w14:paraId="62E8D43C"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CONSOLIDATED STATEMENT OF RECOGNISED INCOME AND EXPENSE</w:t>
            </w:r>
          </w:p>
        </w:tc>
        <w:tc>
          <w:tcPr>
            <w:tcW w:w="1153" w:type="dxa"/>
            <w:tcMar>
              <w:top w:w="0" w:type="dxa"/>
              <w:left w:w="108" w:type="dxa"/>
              <w:bottom w:w="0" w:type="dxa"/>
              <w:right w:w="108" w:type="dxa"/>
            </w:tcMar>
            <w:vAlign w:val="center"/>
            <w:hideMark/>
          </w:tcPr>
          <w:p w14:paraId="1922EE8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6C252D4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tc>
        <w:tc>
          <w:tcPr>
            <w:tcW w:w="30" w:type="dxa"/>
            <w:tcMar>
              <w:top w:w="0" w:type="dxa"/>
              <w:left w:w="108" w:type="dxa"/>
              <w:bottom w:w="0" w:type="dxa"/>
              <w:right w:w="108" w:type="dxa"/>
            </w:tcMar>
            <w:vAlign w:val="bottom"/>
            <w:hideMark/>
          </w:tcPr>
          <w:p w14:paraId="6947934D"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hideMark/>
          </w:tcPr>
          <w:p w14:paraId="79EAD0F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8" w:type="dxa"/>
            <w:tcMar>
              <w:top w:w="0" w:type="dxa"/>
              <w:left w:w="108" w:type="dxa"/>
              <w:bottom w:w="0" w:type="dxa"/>
              <w:right w:w="108" w:type="dxa"/>
            </w:tcMar>
            <w:hideMark/>
          </w:tcPr>
          <w:p w14:paraId="405F14A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center"/>
            <w:hideMark/>
          </w:tcPr>
          <w:p w14:paraId="1AA7453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1E17624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tc>
        <w:tc>
          <w:tcPr>
            <w:tcW w:w="95" w:type="dxa"/>
            <w:tcMar>
              <w:top w:w="0" w:type="dxa"/>
              <w:left w:w="108" w:type="dxa"/>
              <w:bottom w:w="0" w:type="dxa"/>
              <w:right w:w="108" w:type="dxa"/>
            </w:tcMar>
            <w:vAlign w:val="bottom"/>
            <w:hideMark/>
          </w:tcPr>
          <w:p w14:paraId="02228EC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7C410CA" w14:textId="77777777" w:rsidTr="00AE009D">
        <w:trPr>
          <w:trHeight w:val="76"/>
        </w:trPr>
        <w:tc>
          <w:tcPr>
            <w:tcW w:w="3959" w:type="dxa"/>
            <w:tcMar>
              <w:top w:w="0" w:type="dxa"/>
              <w:left w:w="108" w:type="dxa"/>
              <w:bottom w:w="0" w:type="dxa"/>
              <w:right w:w="108" w:type="dxa"/>
            </w:tcMar>
            <w:vAlign w:val="center"/>
            <w:hideMark/>
          </w:tcPr>
          <w:p w14:paraId="633F6339"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For the six months to 30 September 2020</w:t>
            </w:r>
          </w:p>
        </w:tc>
        <w:tc>
          <w:tcPr>
            <w:tcW w:w="9" w:type="dxa"/>
            <w:tcMar>
              <w:top w:w="0" w:type="dxa"/>
              <w:left w:w="108" w:type="dxa"/>
              <w:bottom w:w="0" w:type="dxa"/>
              <w:right w:w="108" w:type="dxa"/>
            </w:tcMar>
            <w:vAlign w:val="bottom"/>
            <w:hideMark/>
          </w:tcPr>
          <w:p w14:paraId="11CE7B2A"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 w:type="dxa"/>
            <w:tcMar>
              <w:top w:w="0" w:type="dxa"/>
              <w:left w:w="108" w:type="dxa"/>
              <w:bottom w:w="0" w:type="dxa"/>
              <w:right w:w="108" w:type="dxa"/>
            </w:tcMar>
            <w:vAlign w:val="bottom"/>
            <w:hideMark/>
          </w:tcPr>
          <w:p w14:paraId="3957B6F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Mar>
              <w:top w:w="0" w:type="dxa"/>
              <w:left w:w="108" w:type="dxa"/>
              <w:bottom w:w="0" w:type="dxa"/>
              <w:right w:w="108" w:type="dxa"/>
            </w:tcMar>
            <w:vAlign w:val="center"/>
            <w:hideMark/>
          </w:tcPr>
          <w:p w14:paraId="7512670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 Months to 30 Sep 20</w:t>
            </w:r>
          </w:p>
        </w:tc>
        <w:tc>
          <w:tcPr>
            <w:tcW w:w="30" w:type="dxa"/>
            <w:tcMar>
              <w:top w:w="0" w:type="dxa"/>
              <w:left w:w="108" w:type="dxa"/>
              <w:bottom w:w="0" w:type="dxa"/>
              <w:right w:w="108" w:type="dxa"/>
            </w:tcMar>
            <w:vAlign w:val="bottom"/>
            <w:hideMark/>
          </w:tcPr>
          <w:p w14:paraId="5E08A209"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center"/>
            <w:hideMark/>
          </w:tcPr>
          <w:p w14:paraId="0C3D0937"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6 Months to</w:t>
            </w:r>
          </w:p>
          <w:p w14:paraId="1C97439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30 Sep 19</w:t>
            </w:r>
          </w:p>
        </w:tc>
        <w:tc>
          <w:tcPr>
            <w:tcW w:w="68" w:type="dxa"/>
            <w:tcMar>
              <w:top w:w="0" w:type="dxa"/>
              <w:left w:w="108" w:type="dxa"/>
              <w:bottom w:w="0" w:type="dxa"/>
              <w:right w:w="108" w:type="dxa"/>
            </w:tcMar>
            <w:hideMark/>
          </w:tcPr>
          <w:p w14:paraId="7208018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center"/>
            <w:hideMark/>
          </w:tcPr>
          <w:p w14:paraId="3830129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Year ended 31 Mar 20</w:t>
            </w:r>
          </w:p>
        </w:tc>
        <w:tc>
          <w:tcPr>
            <w:tcW w:w="95" w:type="dxa"/>
            <w:tcMar>
              <w:top w:w="0" w:type="dxa"/>
              <w:left w:w="108" w:type="dxa"/>
              <w:bottom w:w="0" w:type="dxa"/>
              <w:right w:w="108" w:type="dxa"/>
            </w:tcMar>
            <w:vAlign w:val="bottom"/>
            <w:hideMark/>
          </w:tcPr>
          <w:p w14:paraId="2746875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EEE508C" w14:textId="77777777" w:rsidTr="00AE009D">
        <w:trPr>
          <w:trHeight w:val="76"/>
        </w:trPr>
        <w:tc>
          <w:tcPr>
            <w:tcW w:w="3959" w:type="dxa"/>
            <w:tcMar>
              <w:top w:w="0" w:type="dxa"/>
              <w:left w:w="108" w:type="dxa"/>
              <w:bottom w:w="0" w:type="dxa"/>
              <w:right w:w="108" w:type="dxa"/>
            </w:tcMar>
            <w:vAlign w:val="bottom"/>
            <w:hideMark/>
          </w:tcPr>
          <w:p w14:paraId="17C507F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 w:type="dxa"/>
            <w:tcMar>
              <w:top w:w="0" w:type="dxa"/>
              <w:left w:w="108" w:type="dxa"/>
              <w:bottom w:w="0" w:type="dxa"/>
              <w:right w:w="108" w:type="dxa"/>
            </w:tcMar>
            <w:vAlign w:val="bottom"/>
            <w:hideMark/>
          </w:tcPr>
          <w:p w14:paraId="7CCEC4B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 w:type="dxa"/>
            <w:tcMar>
              <w:top w:w="0" w:type="dxa"/>
              <w:left w:w="108" w:type="dxa"/>
              <w:bottom w:w="0" w:type="dxa"/>
              <w:right w:w="108" w:type="dxa"/>
            </w:tcMar>
            <w:vAlign w:val="bottom"/>
            <w:hideMark/>
          </w:tcPr>
          <w:p w14:paraId="235CF58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Mar>
              <w:top w:w="0" w:type="dxa"/>
              <w:left w:w="108" w:type="dxa"/>
              <w:bottom w:w="0" w:type="dxa"/>
              <w:right w:w="108" w:type="dxa"/>
            </w:tcMar>
            <w:vAlign w:val="bottom"/>
            <w:hideMark/>
          </w:tcPr>
          <w:p w14:paraId="4044D2B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Unaudited</w:t>
            </w:r>
          </w:p>
        </w:tc>
        <w:tc>
          <w:tcPr>
            <w:tcW w:w="30" w:type="dxa"/>
            <w:tcMar>
              <w:top w:w="0" w:type="dxa"/>
              <w:left w:w="108" w:type="dxa"/>
              <w:bottom w:w="0" w:type="dxa"/>
              <w:right w:w="108" w:type="dxa"/>
            </w:tcMar>
            <w:vAlign w:val="bottom"/>
            <w:hideMark/>
          </w:tcPr>
          <w:p w14:paraId="2B540AE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Mar>
              <w:top w:w="0" w:type="dxa"/>
              <w:left w:w="108" w:type="dxa"/>
              <w:bottom w:w="0" w:type="dxa"/>
              <w:right w:w="108" w:type="dxa"/>
            </w:tcMar>
            <w:vAlign w:val="center"/>
            <w:hideMark/>
          </w:tcPr>
          <w:p w14:paraId="5231F1CA"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Unaudited</w:t>
            </w:r>
          </w:p>
        </w:tc>
        <w:tc>
          <w:tcPr>
            <w:tcW w:w="68" w:type="dxa"/>
            <w:tcMar>
              <w:top w:w="0" w:type="dxa"/>
              <w:left w:w="108" w:type="dxa"/>
              <w:bottom w:w="0" w:type="dxa"/>
              <w:right w:w="108" w:type="dxa"/>
            </w:tcMar>
            <w:hideMark/>
          </w:tcPr>
          <w:p w14:paraId="6115B7F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bottom"/>
            <w:hideMark/>
          </w:tcPr>
          <w:p w14:paraId="1940241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Audited</w:t>
            </w:r>
          </w:p>
        </w:tc>
        <w:tc>
          <w:tcPr>
            <w:tcW w:w="95" w:type="dxa"/>
            <w:tcMar>
              <w:top w:w="0" w:type="dxa"/>
              <w:left w:w="108" w:type="dxa"/>
              <w:bottom w:w="0" w:type="dxa"/>
              <w:right w:w="108" w:type="dxa"/>
            </w:tcMar>
            <w:vAlign w:val="bottom"/>
            <w:hideMark/>
          </w:tcPr>
          <w:p w14:paraId="4CB4CB7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5DEDA00" w14:textId="77777777" w:rsidTr="00AE009D">
        <w:trPr>
          <w:trHeight w:val="318"/>
        </w:trPr>
        <w:tc>
          <w:tcPr>
            <w:tcW w:w="3959" w:type="dxa"/>
            <w:tcMar>
              <w:top w:w="0" w:type="dxa"/>
              <w:left w:w="108" w:type="dxa"/>
              <w:bottom w:w="0" w:type="dxa"/>
              <w:right w:w="108" w:type="dxa"/>
            </w:tcMar>
            <w:vAlign w:val="bottom"/>
            <w:hideMark/>
          </w:tcPr>
          <w:p w14:paraId="2794ED2B" w14:textId="77777777" w:rsidR="00AE009D" w:rsidRPr="00AE009D" w:rsidRDefault="00AE009D" w:rsidP="00AE009D">
            <w:pPr>
              <w:jc w:val="center"/>
              <w:rPr>
                <w:rFonts w:ascii="Calibri" w:eastAsia="Times New Roman" w:hAnsi="Calibri" w:cs="Calibri"/>
                <w:i/>
                <w:iCs/>
                <w:lang w:eastAsia="en-GB"/>
              </w:rPr>
            </w:pPr>
            <w:r w:rsidRPr="00AE009D">
              <w:rPr>
                <w:rFonts w:ascii="Calibri" w:eastAsia="Times New Roman" w:hAnsi="Calibri" w:cs="Calibri"/>
                <w:i/>
                <w:iCs/>
                <w:lang w:eastAsia="en-GB"/>
              </w:rPr>
              <w:t> </w:t>
            </w:r>
          </w:p>
        </w:tc>
        <w:tc>
          <w:tcPr>
            <w:tcW w:w="9" w:type="dxa"/>
            <w:tcMar>
              <w:top w:w="0" w:type="dxa"/>
              <w:left w:w="108" w:type="dxa"/>
              <w:bottom w:w="0" w:type="dxa"/>
              <w:right w:w="108" w:type="dxa"/>
            </w:tcMar>
            <w:vAlign w:val="bottom"/>
            <w:hideMark/>
          </w:tcPr>
          <w:p w14:paraId="175B4A1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 w:type="dxa"/>
            <w:tcMar>
              <w:top w:w="0" w:type="dxa"/>
              <w:left w:w="108" w:type="dxa"/>
              <w:bottom w:w="0" w:type="dxa"/>
              <w:right w:w="108" w:type="dxa"/>
            </w:tcMar>
            <w:vAlign w:val="bottom"/>
            <w:hideMark/>
          </w:tcPr>
          <w:p w14:paraId="2436021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Mar>
              <w:top w:w="0" w:type="dxa"/>
              <w:left w:w="108" w:type="dxa"/>
              <w:bottom w:w="0" w:type="dxa"/>
              <w:right w:w="108" w:type="dxa"/>
            </w:tcMar>
            <w:vAlign w:val="center"/>
            <w:hideMark/>
          </w:tcPr>
          <w:p w14:paraId="46F9F20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30" w:type="dxa"/>
            <w:tcMar>
              <w:top w:w="0" w:type="dxa"/>
              <w:left w:w="108" w:type="dxa"/>
              <w:bottom w:w="0" w:type="dxa"/>
              <w:right w:w="108" w:type="dxa"/>
            </w:tcMar>
            <w:vAlign w:val="bottom"/>
            <w:hideMark/>
          </w:tcPr>
          <w:p w14:paraId="7DC61A87"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center"/>
            <w:hideMark/>
          </w:tcPr>
          <w:p w14:paraId="33F4AB2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68" w:type="dxa"/>
            <w:tcMar>
              <w:top w:w="0" w:type="dxa"/>
              <w:left w:w="108" w:type="dxa"/>
              <w:bottom w:w="0" w:type="dxa"/>
              <w:right w:w="108" w:type="dxa"/>
            </w:tcMar>
            <w:hideMark/>
          </w:tcPr>
          <w:p w14:paraId="4C569F4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center"/>
            <w:hideMark/>
          </w:tcPr>
          <w:p w14:paraId="3228614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95" w:type="dxa"/>
            <w:tcMar>
              <w:top w:w="0" w:type="dxa"/>
              <w:left w:w="108" w:type="dxa"/>
              <w:bottom w:w="0" w:type="dxa"/>
              <w:right w:w="108" w:type="dxa"/>
            </w:tcMar>
            <w:vAlign w:val="bottom"/>
            <w:hideMark/>
          </w:tcPr>
          <w:p w14:paraId="52287A0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40D3CBF" w14:textId="77777777" w:rsidTr="00AE009D">
        <w:trPr>
          <w:trHeight w:val="318"/>
        </w:trPr>
        <w:tc>
          <w:tcPr>
            <w:tcW w:w="3959" w:type="dxa"/>
            <w:tcMar>
              <w:top w:w="0" w:type="dxa"/>
              <w:left w:w="108" w:type="dxa"/>
              <w:bottom w:w="0" w:type="dxa"/>
              <w:right w:w="108" w:type="dxa"/>
            </w:tcMar>
            <w:vAlign w:val="bottom"/>
            <w:hideMark/>
          </w:tcPr>
          <w:p w14:paraId="015E2252" w14:textId="77777777" w:rsidR="00AE009D" w:rsidRPr="00AE009D" w:rsidRDefault="00AE009D" w:rsidP="00AE009D">
            <w:pPr>
              <w:jc w:val="center"/>
              <w:rPr>
                <w:rFonts w:ascii="Calibri" w:eastAsia="Times New Roman" w:hAnsi="Calibri" w:cs="Calibri"/>
                <w:i/>
                <w:iCs/>
                <w:lang w:eastAsia="en-GB"/>
              </w:rPr>
            </w:pPr>
            <w:r w:rsidRPr="00AE009D">
              <w:rPr>
                <w:rFonts w:ascii="Calibri" w:eastAsia="Times New Roman" w:hAnsi="Calibri" w:cs="Calibri"/>
                <w:i/>
                <w:iCs/>
                <w:lang w:eastAsia="en-GB"/>
              </w:rPr>
              <w:t> </w:t>
            </w:r>
          </w:p>
        </w:tc>
        <w:tc>
          <w:tcPr>
            <w:tcW w:w="9" w:type="dxa"/>
            <w:tcMar>
              <w:top w:w="0" w:type="dxa"/>
              <w:left w:w="108" w:type="dxa"/>
              <w:bottom w:w="0" w:type="dxa"/>
              <w:right w:w="108" w:type="dxa"/>
            </w:tcMar>
            <w:vAlign w:val="bottom"/>
            <w:hideMark/>
          </w:tcPr>
          <w:p w14:paraId="1357620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 w:type="dxa"/>
            <w:tcMar>
              <w:top w:w="0" w:type="dxa"/>
              <w:left w:w="108" w:type="dxa"/>
              <w:bottom w:w="0" w:type="dxa"/>
              <w:right w:w="108" w:type="dxa"/>
            </w:tcMar>
            <w:vAlign w:val="bottom"/>
            <w:hideMark/>
          </w:tcPr>
          <w:p w14:paraId="1A598AC1"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Mar>
              <w:top w:w="0" w:type="dxa"/>
              <w:left w:w="108" w:type="dxa"/>
              <w:bottom w:w="0" w:type="dxa"/>
              <w:right w:w="108" w:type="dxa"/>
            </w:tcMar>
            <w:vAlign w:val="center"/>
            <w:hideMark/>
          </w:tcPr>
          <w:p w14:paraId="782CE105"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30" w:type="dxa"/>
            <w:tcMar>
              <w:top w:w="0" w:type="dxa"/>
              <w:left w:w="108" w:type="dxa"/>
              <w:bottom w:w="0" w:type="dxa"/>
              <w:right w:w="108" w:type="dxa"/>
            </w:tcMar>
            <w:vAlign w:val="bottom"/>
            <w:hideMark/>
          </w:tcPr>
          <w:p w14:paraId="6CC1694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center"/>
            <w:hideMark/>
          </w:tcPr>
          <w:p w14:paraId="52F08C9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68" w:type="dxa"/>
            <w:tcMar>
              <w:top w:w="0" w:type="dxa"/>
              <w:left w:w="108" w:type="dxa"/>
              <w:bottom w:w="0" w:type="dxa"/>
              <w:right w:w="108" w:type="dxa"/>
            </w:tcMar>
            <w:hideMark/>
          </w:tcPr>
          <w:p w14:paraId="714ED89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center"/>
            <w:hideMark/>
          </w:tcPr>
          <w:p w14:paraId="78D91C15"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5" w:type="dxa"/>
            <w:tcMar>
              <w:top w:w="0" w:type="dxa"/>
              <w:left w:w="108" w:type="dxa"/>
              <w:bottom w:w="0" w:type="dxa"/>
              <w:right w:w="108" w:type="dxa"/>
            </w:tcMar>
            <w:vAlign w:val="bottom"/>
            <w:hideMark/>
          </w:tcPr>
          <w:p w14:paraId="3C17470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E8A6E60" w14:textId="77777777" w:rsidTr="00AE009D">
        <w:trPr>
          <w:trHeight w:val="305"/>
        </w:trPr>
        <w:tc>
          <w:tcPr>
            <w:tcW w:w="3959" w:type="dxa"/>
            <w:tcMar>
              <w:top w:w="0" w:type="dxa"/>
              <w:left w:w="108" w:type="dxa"/>
              <w:bottom w:w="0" w:type="dxa"/>
              <w:right w:w="108" w:type="dxa"/>
            </w:tcMar>
            <w:vAlign w:val="center"/>
            <w:hideMark/>
          </w:tcPr>
          <w:p w14:paraId="6AE05DBA"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Profit for the period</w:t>
            </w:r>
          </w:p>
        </w:tc>
        <w:tc>
          <w:tcPr>
            <w:tcW w:w="9" w:type="dxa"/>
            <w:tcMar>
              <w:top w:w="0" w:type="dxa"/>
              <w:left w:w="108" w:type="dxa"/>
              <w:bottom w:w="0" w:type="dxa"/>
              <w:right w:w="108" w:type="dxa"/>
            </w:tcMar>
            <w:vAlign w:val="bottom"/>
            <w:hideMark/>
          </w:tcPr>
          <w:p w14:paraId="3C78897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 w:type="dxa"/>
            <w:tcMar>
              <w:top w:w="0" w:type="dxa"/>
              <w:left w:w="108" w:type="dxa"/>
              <w:bottom w:w="0" w:type="dxa"/>
              <w:right w:w="108" w:type="dxa"/>
            </w:tcMar>
            <w:vAlign w:val="bottom"/>
            <w:hideMark/>
          </w:tcPr>
          <w:p w14:paraId="773DFBB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Mar>
              <w:top w:w="0" w:type="dxa"/>
              <w:left w:w="108" w:type="dxa"/>
              <w:bottom w:w="0" w:type="dxa"/>
              <w:right w:w="108" w:type="dxa"/>
            </w:tcMar>
            <w:vAlign w:val="center"/>
            <w:hideMark/>
          </w:tcPr>
          <w:p w14:paraId="1FEF37E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30" w:type="dxa"/>
            <w:tcMar>
              <w:top w:w="0" w:type="dxa"/>
              <w:left w:w="108" w:type="dxa"/>
              <w:bottom w:w="0" w:type="dxa"/>
              <w:right w:w="108" w:type="dxa"/>
            </w:tcMar>
            <w:vAlign w:val="bottom"/>
            <w:hideMark/>
          </w:tcPr>
          <w:p w14:paraId="3740AC9A"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center"/>
            <w:hideMark/>
          </w:tcPr>
          <w:p w14:paraId="472A6A4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c>
          <w:tcPr>
            <w:tcW w:w="68" w:type="dxa"/>
            <w:tcMar>
              <w:top w:w="0" w:type="dxa"/>
              <w:left w:w="108" w:type="dxa"/>
              <w:bottom w:w="0" w:type="dxa"/>
              <w:right w:w="108" w:type="dxa"/>
            </w:tcMar>
            <w:hideMark/>
          </w:tcPr>
          <w:p w14:paraId="413D34C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Mar>
              <w:top w:w="0" w:type="dxa"/>
              <w:left w:w="108" w:type="dxa"/>
              <w:bottom w:w="0" w:type="dxa"/>
              <w:right w:w="108" w:type="dxa"/>
            </w:tcMar>
            <w:vAlign w:val="center"/>
            <w:hideMark/>
          </w:tcPr>
          <w:p w14:paraId="641EE5E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(151)</w:t>
            </w:r>
          </w:p>
        </w:tc>
        <w:tc>
          <w:tcPr>
            <w:tcW w:w="95" w:type="dxa"/>
            <w:tcMar>
              <w:top w:w="0" w:type="dxa"/>
              <w:left w:w="108" w:type="dxa"/>
              <w:bottom w:w="0" w:type="dxa"/>
              <w:right w:w="108" w:type="dxa"/>
            </w:tcMar>
            <w:vAlign w:val="bottom"/>
            <w:hideMark/>
          </w:tcPr>
          <w:p w14:paraId="106785F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88013C4" w14:textId="77777777" w:rsidTr="00AE009D">
        <w:trPr>
          <w:trHeight w:val="318"/>
        </w:trPr>
        <w:tc>
          <w:tcPr>
            <w:tcW w:w="3959" w:type="dxa"/>
            <w:tcMar>
              <w:top w:w="0" w:type="dxa"/>
              <w:left w:w="108" w:type="dxa"/>
              <w:bottom w:w="0" w:type="dxa"/>
              <w:right w:w="108" w:type="dxa"/>
            </w:tcMar>
            <w:vAlign w:val="center"/>
            <w:hideMark/>
          </w:tcPr>
          <w:p w14:paraId="4FB9546E"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Foreign currency translation difference</w:t>
            </w:r>
          </w:p>
        </w:tc>
        <w:tc>
          <w:tcPr>
            <w:tcW w:w="9" w:type="dxa"/>
            <w:tcMar>
              <w:top w:w="0" w:type="dxa"/>
              <w:left w:w="108" w:type="dxa"/>
              <w:bottom w:w="0" w:type="dxa"/>
              <w:right w:w="108" w:type="dxa"/>
            </w:tcMar>
            <w:vAlign w:val="bottom"/>
            <w:hideMark/>
          </w:tcPr>
          <w:p w14:paraId="13E8EE09"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 w:type="dxa"/>
            <w:tcMar>
              <w:top w:w="0" w:type="dxa"/>
              <w:left w:w="108" w:type="dxa"/>
              <w:bottom w:w="0" w:type="dxa"/>
              <w:right w:w="108" w:type="dxa"/>
            </w:tcMar>
            <w:vAlign w:val="bottom"/>
            <w:hideMark/>
          </w:tcPr>
          <w:p w14:paraId="6A007C39"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Borders>
              <w:top w:val="nil"/>
              <w:left w:val="nil"/>
              <w:bottom w:val="single" w:sz="8" w:space="0" w:color="auto"/>
              <w:right w:val="nil"/>
            </w:tcBorders>
            <w:tcMar>
              <w:top w:w="0" w:type="dxa"/>
              <w:left w:w="108" w:type="dxa"/>
              <w:bottom w:w="0" w:type="dxa"/>
              <w:right w:w="108" w:type="dxa"/>
            </w:tcMar>
            <w:vAlign w:val="center"/>
            <w:hideMark/>
          </w:tcPr>
          <w:p w14:paraId="2FAA965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c>
          <w:tcPr>
            <w:tcW w:w="30" w:type="dxa"/>
            <w:tcMar>
              <w:top w:w="0" w:type="dxa"/>
              <w:left w:w="108" w:type="dxa"/>
              <w:bottom w:w="0" w:type="dxa"/>
              <w:right w:w="108" w:type="dxa"/>
            </w:tcMar>
            <w:vAlign w:val="bottom"/>
            <w:hideMark/>
          </w:tcPr>
          <w:p w14:paraId="3E553B5A"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66D2BFB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c>
          <w:tcPr>
            <w:tcW w:w="68" w:type="dxa"/>
            <w:tcMar>
              <w:top w:w="0" w:type="dxa"/>
              <w:left w:w="108" w:type="dxa"/>
              <w:bottom w:w="0" w:type="dxa"/>
              <w:right w:w="108" w:type="dxa"/>
            </w:tcMar>
            <w:hideMark/>
          </w:tcPr>
          <w:p w14:paraId="3E10B48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Borders>
              <w:top w:val="nil"/>
              <w:left w:val="nil"/>
              <w:bottom w:val="single" w:sz="8" w:space="0" w:color="auto"/>
              <w:right w:val="nil"/>
            </w:tcBorders>
            <w:tcMar>
              <w:top w:w="0" w:type="dxa"/>
              <w:left w:w="108" w:type="dxa"/>
              <w:bottom w:w="0" w:type="dxa"/>
              <w:right w:w="108" w:type="dxa"/>
            </w:tcMar>
            <w:vAlign w:val="center"/>
            <w:hideMark/>
          </w:tcPr>
          <w:p w14:paraId="21EA86F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w:t>
            </w:r>
          </w:p>
        </w:tc>
        <w:tc>
          <w:tcPr>
            <w:tcW w:w="95" w:type="dxa"/>
            <w:tcMar>
              <w:top w:w="0" w:type="dxa"/>
              <w:left w:w="108" w:type="dxa"/>
              <w:bottom w:w="0" w:type="dxa"/>
              <w:right w:w="108" w:type="dxa"/>
            </w:tcMar>
            <w:vAlign w:val="bottom"/>
            <w:hideMark/>
          </w:tcPr>
          <w:p w14:paraId="3D48AF7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EB37C5F" w14:textId="77777777" w:rsidTr="00AE009D">
        <w:trPr>
          <w:trHeight w:val="510"/>
        </w:trPr>
        <w:tc>
          <w:tcPr>
            <w:tcW w:w="3959" w:type="dxa"/>
            <w:tcMar>
              <w:top w:w="0" w:type="dxa"/>
              <w:left w:w="108" w:type="dxa"/>
              <w:bottom w:w="0" w:type="dxa"/>
              <w:right w:w="108" w:type="dxa"/>
            </w:tcMar>
            <w:vAlign w:val="center"/>
            <w:hideMark/>
          </w:tcPr>
          <w:p w14:paraId="54830E22"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Total recognised income and expense for the period attributable to equity shareholders</w:t>
            </w:r>
          </w:p>
        </w:tc>
        <w:tc>
          <w:tcPr>
            <w:tcW w:w="9" w:type="dxa"/>
            <w:tcMar>
              <w:top w:w="0" w:type="dxa"/>
              <w:left w:w="108" w:type="dxa"/>
              <w:bottom w:w="0" w:type="dxa"/>
              <w:right w:w="108" w:type="dxa"/>
            </w:tcMar>
            <w:vAlign w:val="bottom"/>
            <w:hideMark/>
          </w:tcPr>
          <w:p w14:paraId="42C21694"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 w:type="dxa"/>
            <w:tcMar>
              <w:top w:w="0" w:type="dxa"/>
              <w:left w:w="108" w:type="dxa"/>
              <w:bottom w:w="0" w:type="dxa"/>
              <w:right w:w="108" w:type="dxa"/>
            </w:tcMar>
            <w:vAlign w:val="bottom"/>
            <w:hideMark/>
          </w:tcPr>
          <w:p w14:paraId="2AE8F8A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146" w:type="dxa"/>
            <w:tcBorders>
              <w:top w:val="nil"/>
              <w:left w:val="nil"/>
              <w:bottom w:val="single" w:sz="8" w:space="0" w:color="auto"/>
              <w:right w:val="nil"/>
            </w:tcBorders>
            <w:tcMar>
              <w:top w:w="0" w:type="dxa"/>
              <w:left w:w="108" w:type="dxa"/>
              <w:bottom w:w="0" w:type="dxa"/>
              <w:right w:w="108" w:type="dxa"/>
            </w:tcMar>
            <w:vAlign w:val="center"/>
            <w:hideMark/>
          </w:tcPr>
          <w:p w14:paraId="4697935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(101)</w:t>
            </w:r>
          </w:p>
        </w:tc>
        <w:tc>
          <w:tcPr>
            <w:tcW w:w="30" w:type="dxa"/>
            <w:tcMar>
              <w:top w:w="0" w:type="dxa"/>
              <w:left w:w="108" w:type="dxa"/>
              <w:bottom w:w="0" w:type="dxa"/>
              <w:right w:w="108" w:type="dxa"/>
            </w:tcMar>
            <w:vAlign w:val="bottom"/>
            <w:hideMark/>
          </w:tcPr>
          <w:p w14:paraId="3FFCD37D"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614A3C8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c>
          <w:tcPr>
            <w:tcW w:w="68" w:type="dxa"/>
            <w:tcMar>
              <w:top w:w="0" w:type="dxa"/>
              <w:left w:w="108" w:type="dxa"/>
              <w:bottom w:w="0" w:type="dxa"/>
              <w:right w:w="108" w:type="dxa"/>
            </w:tcMar>
            <w:hideMark/>
          </w:tcPr>
          <w:p w14:paraId="7801B46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174" w:type="dxa"/>
            <w:tcBorders>
              <w:top w:val="nil"/>
              <w:left w:val="nil"/>
              <w:bottom w:val="single" w:sz="8" w:space="0" w:color="auto"/>
              <w:right w:val="nil"/>
            </w:tcBorders>
            <w:tcMar>
              <w:top w:w="0" w:type="dxa"/>
              <w:left w:w="108" w:type="dxa"/>
              <w:bottom w:w="0" w:type="dxa"/>
              <w:right w:w="108" w:type="dxa"/>
            </w:tcMar>
            <w:vAlign w:val="center"/>
            <w:hideMark/>
          </w:tcPr>
          <w:p w14:paraId="7472C2A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(115)</w:t>
            </w:r>
          </w:p>
        </w:tc>
        <w:tc>
          <w:tcPr>
            <w:tcW w:w="95" w:type="dxa"/>
            <w:tcMar>
              <w:top w:w="0" w:type="dxa"/>
              <w:left w:w="108" w:type="dxa"/>
              <w:bottom w:w="0" w:type="dxa"/>
              <w:right w:w="108" w:type="dxa"/>
            </w:tcMar>
            <w:vAlign w:val="bottom"/>
            <w:hideMark/>
          </w:tcPr>
          <w:p w14:paraId="71A3A9B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bl>
    <w:p w14:paraId="36B711B8"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282F8514" w14:textId="77777777" w:rsidR="00AE009D" w:rsidRPr="00AE009D" w:rsidRDefault="00AE009D" w:rsidP="00AE009D">
      <w:pPr>
        <w:rPr>
          <w:rFonts w:ascii="Calibri" w:eastAsia="Times New Roman" w:hAnsi="Calibri" w:cs="Calibri"/>
          <w:color w:val="000000"/>
          <w:lang w:eastAsia="en-GB"/>
        </w:rPr>
      </w:pPr>
      <w:r w:rsidRPr="00AE009D">
        <w:rPr>
          <w:rFonts w:ascii="Calibri" w:eastAsia="Times New Roman" w:hAnsi="Calibri" w:cs="Calibri"/>
          <w:color w:val="000000"/>
          <w:lang w:eastAsia="en-GB"/>
        </w:rPr>
        <w:t> </w:t>
      </w:r>
    </w:p>
    <w:tbl>
      <w:tblPr>
        <w:tblW w:w="12900" w:type="dxa"/>
        <w:tblInd w:w="-108" w:type="dxa"/>
        <w:tblCellMar>
          <w:left w:w="0" w:type="dxa"/>
          <w:right w:w="0" w:type="dxa"/>
        </w:tblCellMar>
        <w:tblLook w:val="04A0" w:firstRow="1" w:lastRow="0" w:firstColumn="1" w:lastColumn="0" w:noHBand="0" w:noVBand="1"/>
      </w:tblPr>
      <w:tblGrid>
        <w:gridCol w:w="4308"/>
        <w:gridCol w:w="500"/>
        <w:gridCol w:w="990"/>
        <w:gridCol w:w="233"/>
        <w:gridCol w:w="861"/>
        <w:gridCol w:w="642"/>
        <w:gridCol w:w="352"/>
        <w:gridCol w:w="1197"/>
        <w:gridCol w:w="1129"/>
        <w:gridCol w:w="1094"/>
        <w:gridCol w:w="1594"/>
      </w:tblGrid>
      <w:tr w:rsidR="00AE009D" w:rsidRPr="00AE009D" w14:paraId="3EF8A2F9" w14:textId="77777777" w:rsidTr="00AE009D">
        <w:trPr>
          <w:trHeight w:val="315"/>
        </w:trPr>
        <w:tc>
          <w:tcPr>
            <w:tcW w:w="5624" w:type="dxa"/>
            <w:gridSpan w:val="3"/>
            <w:tcMar>
              <w:top w:w="0" w:type="dxa"/>
              <w:left w:w="108" w:type="dxa"/>
              <w:bottom w:w="0" w:type="dxa"/>
              <w:right w:w="108" w:type="dxa"/>
            </w:tcMar>
            <w:vAlign w:val="center"/>
            <w:hideMark/>
          </w:tcPr>
          <w:p w14:paraId="421123D0"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CONSOLIDATED STATEMENT OF CHANGES IN EQUITY</w:t>
            </w:r>
          </w:p>
        </w:tc>
        <w:tc>
          <w:tcPr>
            <w:tcW w:w="845" w:type="dxa"/>
            <w:gridSpan w:val="2"/>
            <w:tcMar>
              <w:top w:w="0" w:type="dxa"/>
              <w:left w:w="108" w:type="dxa"/>
              <w:bottom w:w="0" w:type="dxa"/>
              <w:right w:w="108" w:type="dxa"/>
            </w:tcMar>
            <w:vAlign w:val="bottom"/>
            <w:hideMark/>
          </w:tcPr>
          <w:p w14:paraId="2697AA58"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964" w:type="dxa"/>
            <w:gridSpan w:val="2"/>
            <w:tcMar>
              <w:top w:w="0" w:type="dxa"/>
              <w:left w:w="108" w:type="dxa"/>
              <w:bottom w:w="0" w:type="dxa"/>
              <w:right w:w="108" w:type="dxa"/>
            </w:tcMar>
            <w:vAlign w:val="bottom"/>
            <w:hideMark/>
          </w:tcPr>
          <w:p w14:paraId="236ECC4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45" w:type="dxa"/>
            <w:tcMar>
              <w:top w:w="0" w:type="dxa"/>
              <w:left w:w="108" w:type="dxa"/>
              <w:bottom w:w="0" w:type="dxa"/>
              <w:right w:w="108" w:type="dxa"/>
            </w:tcMar>
            <w:vAlign w:val="bottom"/>
            <w:hideMark/>
          </w:tcPr>
          <w:p w14:paraId="6C9ED51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Mar>
              <w:top w:w="0" w:type="dxa"/>
              <w:left w:w="108" w:type="dxa"/>
              <w:bottom w:w="0" w:type="dxa"/>
              <w:right w:w="108" w:type="dxa"/>
            </w:tcMar>
            <w:vAlign w:val="bottom"/>
            <w:hideMark/>
          </w:tcPr>
          <w:p w14:paraId="2461E0B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Mar>
              <w:top w:w="0" w:type="dxa"/>
              <w:left w:w="108" w:type="dxa"/>
              <w:bottom w:w="0" w:type="dxa"/>
              <w:right w:w="108" w:type="dxa"/>
            </w:tcMar>
            <w:vAlign w:val="bottom"/>
            <w:hideMark/>
          </w:tcPr>
          <w:p w14:paraId="59F7CFE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8" w:type="dxa"/>
            <w:tcMar>
              <w:top w:w="0" w:type="dxa"/>
              <w:left w:w="108" w:type="dxa"/>
              <w:bottom w:w="0" w:type="dxa"/>
              <w:right w:w="108" w:type="dxa"/>
            </w:tcMar>
            <w:vAlign w:val="bottom"/>
            <w:hideMark/>
          </w:tcPr>
          <w:p w14:paraId="12F0E7C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97B5AEA" w14:textId="77777777" w:rsidTr="00AE009D">
        <w:trPr>
          <w:trHeight w:val="315"/>
        </w:trPr>
        <w:tc>
          <w:tcPr>
            <w:tcW w:w="4664" w:type="dxa"/>
            <w:gridSpan w:val="2"/>
            <w:tcMar>
              <w:top w:w="0" w:type="dxa"/>
              <w:left w:w="108" w:type="dxa"/>
              <w:bottom w:w="0" w:type="dxa"/>
              <w:right w:w="108" w:type="dxa"/>
            </w:tcMar>
            <w:vAlign w:val="center"/>
            <w:hideMark/>
          </w:tcPr>
          <w:p w14:paraId="6390F097"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As at 30 September 2020</w:t>
            </w:r>
          </w:p>
        </w:tc>
        <w:tc>
          <w:tcPr>
            <w:tcW w:w="744" w:type="dxa"/>
            <w:tcMar>
              <w:top w:w="0" w:type="dxa"/>
              <w:left w:w="108" w:type="dxa"/>
              <w:bottom w:w="0" w:type="dxa"/>
              <w:right w:w="108" w:type="dxa"/>
            </w:tcMar>
            <w:hideMark/>
          </w:tcPr>
          <w:p w14:paraId="4A6AAB4B"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845" w:type="dxa"/>
            <w:gridSpan w:val="2"/>
            <w:tcMar>
              <w:top w:w="0" w:type="dxa"/>
              <w:left w:w="108" w:type="dxa"/>
              <w:bottom w:w="0" w:type="dxa"/>
              <w:right w:w="108" w:type="dxa"/>
            </w:tcMar>
            <w:vAlign w:val="bottom"/>
            <w:hideMark/>
          </w:tcPr>
          <w:p w14:paraId="793A3F4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64" w:type="dxa"/>
            <w:gridSpan w:val="2"/>
            <w:tcMar>
              <w:top w:w="0" w:type="dxa"/>
              <w:left w:w="108" w:type="dxa"/>
              <w:bottom w:w="0" w:type="dxa"/>
              <w:right w:w="108" w:type="dxa"/>
            </w:tcMar>
            <w:vAlign w:val="bottom"/>
            <w:hideMark/>
          </w:tcPr>
          <w:p w14:paraId="4A9B4BC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45" w:type="dxa"/>
            <w:tcMar>
              <w:top w:w="0" w:type="dxa"/>
              <w:left w:w="108" w:type="dxa"/>
              <w:bottom w:w="0" w:type="dxa"/>
              <w:right w:w="108" w:type="dxa"/>
            </w:tcMar>
            <w:vAlign w:val="bottom"/>
            <w:hideMark/>
          </w:tcPr>
          <w:p w14:paraId="42B622C6"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Mar>
              <w:top w:w="0" w:type="dxa"/>
              <w:left w:w="108" w:type="dxa"/>
              <w:bottom w:w="0" w:type="dxa"/>
              <w:right w:w="108" w:type="dxa"/>
            </w:tcMar>
            <w:vAlign w:val="bottom"/>
            <w:hideMark/>
          </w:tcPr>
          <w:p w14:paraId="6060E2D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Mar>
              <w:top w:w="0" w:type="dxa"/>
              <w:left w:w="108" w:type="dxa"/>
              <w:bottom w:w="0" w:type="dxa"/>
              <w:right w:w="108" w:type="dxa"/>
            </w:tcMar>
            <w:vAlign w:val="bottom"/>
            <w:hideMark/>
          </w:tcPr>
          <w:p w14:paraId="7FEB34E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8" w:type="dxa"/>
            <w:tcMar>
              <w:top w:w="0" w:type="dxa"/>
              <w:left w:w="108" w:type="dxa"/>
              <w:bottom w:w="0" w:type="dxa"/>
              <w:right w:w="108" w:type="dxa"/>
            </w:tcMar>
            <w:vAlign w:val="bottom"/>
            <w:hideMark/>
          </w:tcPr>
          <w:p w14:paraId="7D5AA510"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E435004" w14:textId="77777777" w:rsidTr="00AE009D">
        <w:trPr>
          <w:trHeight w:val="510"/>
        </w:trPr>
        <w:tc>
          <w:tcPr>
            <w:tcW w:w="4664" w:type="dxa"/>
            <w:gridSpan w:val="2"/>
            <w:vMerge w:val="restart"/>
            <w:tcMar>
              <w:top w:w="0" w:type="dxa"/>
              <w:left w:w="108" w:type="dxa"/>
              <w:bottom w:w="0" w:type="dxa"/>
              <w:right w:w="108" w:type="dxa"/>
            </w:tcMar>
            <w:hideMark/>
          </w:tcPr>
          <w:p w14:paraId="2C5B7F7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744" w:type="dxa"/>
            <w:vMerge w:val="restart"/>
            <w:tcMar>
              <w:top w:w="0" w:type="dxa"/>
              <w:left w:w="108" w:type="dxa"/>
              <w:bottom w:w="0" w:type="dxa"/>
              <w:right w:w="108" w:type="dxa"/>
            </w:tcMar>
            <w:vAlign w:val="center"/>
            <w:hideMark/>
          </w:tcPr>
          <w:p w14:paraId="4D36353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33A3C31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Share capital</w:t>
            </w:r>
          </w:p>
        </w:tc>
        <w:tc>
          <w:tcPr>
            <w:tcW w:w="845" w:type="dxa"/>
            <w:gridSpan w:val="2"/>
            <w:vMerge w:val="restart"/>
            <w:tcMar>
              <w:top w:w="0" w:type="dxa"/>
              <w:left w:w="108" w:type="dxa"/>
              <w:bottom w:w="0" w:type="dxa"/>
              <w:right w:w="108" w:type="dxa"/>
            </w:tcMar>
            <w:vAlign w:val="center"/>
            <w:hideMark/>
          </w:tcPr>
          <w:p w14:paraId="2C81045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6C90E23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Share premium</w:t>
            </w:r>
          </w:p>
        </w:tc>
        <w:tc>
          <w:tcPr>
            <w:tcW w:w="964" w:type="dxa"/>
            <w:gridSpan w:val="2"/>
            <w:vMerge w:val="restart"/>
            <w:tcMar>
              <w:top w:w="0" w:type="dxa"/>
              <w:left w:w="108" w:type="dxa"/>
              <w:bottom w:w="0" w:type="dxa"/>
              <w:right w:w="108" w:type="dxa"/>
            </w:tcMar>
            <w:vAlign w:val="center"/>
            <w:hideMark/>
          </w:tcPr>
          <w:p w14:paraId="0D43129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612C6D0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Merger reserve</w:t>
            </w:r>
          </w:p>
        </w:tc>
        <w:tc>
          <w:tcPr>
            <w:tcW w:w="945" w:type="dxa"/>
            <w:vMerge w:val="restart"/>
            <w:tcMar>
              <w:top w:w="0" w:type="dxa"/>
              <w:left w:w="108" w:type="dxa"/>
              <w:bottom w:w="0" w:type="dxa"/>
              <w:right w:w="108" w:type="dxa"/>
            </w:tcMar>
            <w:vAlign w:val="center"/>
            <w:hideMark/>
          </w:tcPr>
          <w:p w14:paraId="005FF818"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Employee share benefit reserve</w:t>
            </w:r>
          </w:p>
        </w:tc>
        <w:tc>
          <w:tcPr>
            <w:tcW w:w="1032" w:type="dxa"/>
            <w:tcMar>
              <w:top w:w="0" w:type="dxa"/>
              <w:left w:w="108" w:type="dxa"/>
              <w:bottom w:w="0" w:type="dxa"/>
              <w:right w:w="108" w:type="dxa"/>
            </w:tcMar>
            <w:hideMark/>
          </w:tcPr>
          <w:p w14:paraId="7CBD73ED"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bottom"/>
            <w:hideMark/>
          </w:tcPr>
          <w:p w14:paraId="0B1548A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18" w:type="dxa"/>
            <w:vMerge w:val="restart"/>
            <w:tcMar>
              <w:top w:w="0" w:type="dxa"/>
              <w:left w:w="108" w:type="dxa"/>
              <w:bottom w:w="0" w:type="dxa"/>
              <w:right w:w="108" w:type="dxa"/>
            </w:tcMar>
            <w:vAlign w:val="center"/>
            <w:hideMark/>
          </w:tcPr>
          <w:p w14:paraId="4A920D8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601EF25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Total equity </w:t>
            </w:r>
          </w:p>
        </w:tc>
      </w:tr>
      <w:tr w:rsidR="00AE009D" w:rsidRPr="00AE009D" w14:paraId="7BDB4FB2" w14:textId="77777777" w:rsidTr="00AE009D">
        <w:trPr>
          <w:trHeight w:val="510"/>
        </w:trPr>
        <w:tc>
          <w:tcPr>
            <w:tcW w:w="0" w:type="auto"/>
            <w:gridSpan w:val="2"/>
            <w:vMerge/>
            <w:vAlign w:val="center"/>
            <w:hideMark/>
          </w:tcPr>
          <w:p w14:paraId="17617895" w14:textId="77777777" w:rsidR="00AE009D" w:rsidRPr="00AE009D" w:rsidRDefault="00AE009D" w:rsidP="00AE009D">
            <w:pPr>
              <w:rPr>
                <w:rFonts w:ascii="Calibri" w:eastAsia="Times New Roman" w:hAnsi="Calibri" w:cs="Calibri"/>
                <w:lang w:eastAsia="en-GB"/>
              </w:rPr>
            </w:pPr>
          </w:p>
        </w:tc>
        <w:tc>
          <w:tcPr>
            <w:tcW w:w="0" w:type="auto"/>
            <w:vMerge/>
            <w:vAlign w:val="center"/>
            <w:hideMark/>
          </w:tcPr>
          <w:p w14:paraId="115B986A" w14:textId="77777777" w:rsidR="00AE009D" w:rsidRPr="00AE009D" w:rsidRDefault="00AE009D" w:rsidP="00AE009D">
            <w:pPr>
              <w:rPr>
                <w:rFonts w:ascii="Calibri" w:eastAsia="Times New Roman" w:hAnsi="Calibri" w:cs="Calibri"/>
                <w:b/>
                <w:bCs/>
                <w:lang w:eastAsia="en-GB"/>
              </w:rPr>
            </w:pPr>
          </w:p>
        </w:tc>
        <w:tc>
          <w:tcPr>
            <w:tcW w:w="0" w:type="auto"/>
            <w:gridSpan w:val="2"/>
            <w:vMerge/>
            <w:vAlign w:val="center"/>
            <w:hideMark/>
          </w:tcPr>
          <w:p w14:paraId="01F2DB66" w14:textId="77777777" w:rsidR="00AE009D" w:rsidRPr="00AE009D" w:rsidRDefault="00AE009D" w:rsidP="00AE009D">
            <w:pPr>
              <w:rPr>
                <w:rFonts w:ascii="Calibri" w:eastAsia="Times New Roman" w:hAnsi="Calibri" w:cs="Calibri"/>
                <w:b/>
                <w:bCs/>
                <w:lang w:eastAsia="en-GB"/>
              </w:rPr>
            </w:pPr>
          </w:p>
        </w:tc>
        <w:tc>
          <w:tcPr>
            <w:tcW w:w="0" w:type="auto"/>
            <w:gridSpan w:val="2"/>
            <w:vMerge/>
            <w:vAlign w:val="center"/>
            <w:hideMark/>
          </w:tcPr>
          <w:p w14:paraId="5CD79711" w14:textId="77777777" w:rsidR="00AE009D" w:rsidRPr="00AE009D" w:rsidRDefault="00AE009D" w:rsidP="00AE009D">
            <w:pPr>
              <w:rPr>
                <w:rFonts w:ascii="Calibri" w:eastAsia="Times New Roman" w:hAnsi="Calibri" w:cs="Calibri"/>
                <w:b/>
                <w:bCs/>
                <w:lang w:eastAsia="en-GB"/>
              </w:rPr>
            </w:pPr>
          </w:p>
        </w:tc>
        <w:tc>
          <w:tcPr>
            <w:tcW w:w="0" w:type="auto"/>
            <w:vMerge/>
            <w:vAlign w:val="center"/>
            <w:hideMark/>
          </w:tcPr>
          <w:p w14:paraId="55CB5E2A" w14:textId="77777777" w:rsidR="00AE009D" w:rsidRPr="00AE009D" w:rsidRDefault="00AE009D" w:rsidP="00AE009D">
            <w:pPr>
              <w:rPr>
                <w:rFonts w:ascii="Calibri" w:eastAsia="Times New Roman" w:hAnsi="Calibri" w:cs="Calibri"/>
                <w:b/>
                <w:bCs/>
                <w:lang w:eastAsia="en-GB"/>
              </w:rPr>
            </w:pPr>
          </w:p>
        </w:tc>
        <w:tc>
          <w:tcPr>
            <w:tcW w:w="1032" w:type="dxa"/>
            <w:tcMar>
              <w:top w:w="0" w:type="dxa"/>
              <w:left w:w="108" w:type="dxa"/>
              <w:bottom w:w="0" w:type="dxa"/>
              <w:right w:w="108" w:type="dxa"/>
            </w:tcMar>
            <w:vAlign w:val="center"/>
            <w:hideMark/>
          </w:tcPr>
          <w:p w14:paraId="75E84CD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Currency reserve</w:t>
            </w:r>
          </w:p>
        </w:tc>
        <w:tc>
          <w:tcPr>
            <w:tcW w:w="1060" w:type="dxa"/>
            <w:tcMar>
              <w:top w:w="0" w:type="dxa"/>
              <w:left w:w="108" w:type="dxa"/>
              <w:bottom w:w="0" w:type="dxa"/>
              <w:right w:w="108" w:type="dxa"/>
            </w:tcMar>
            <w:vAlign w:val="center"/>
            <w:hideMark/>
          </w:tcPr>
          <w:p w14:paraId="6BD7ECC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Retained earnings</w:t>
            </w:r>
          </w:p>
        </w:tc>
        <w:tc>
          <w:tcPr>
            <w:tcW w:w="0" w:type="auto"/>
            <w:vMerge/>
            <w:vAlign w:val="center"/>
            <w:hideMark/>
          </w:tcPr>
          <w:p w14:paraId="55A37C10" w14:textId="77777777" w:rsidR="00AE009D" w:rsidRPr="00AE009D" w:rsidRDefault="00AE009D" w:rsidP="00AE009D">
            <w:pPr>
              <w:rPr>
                <w:rFonts w:ascii="Calibri" w:eastAsia="Times New Roman" w:hAnsi="Calibri" w:cs="Calibri"/>
                <w:b/>
                <w:bCs/>
                <w:lang w:eastAsia="en-GB"/>
              </w:rPr>
            </w:pPr>
          </w:p>
        </w:tc>
      </w:tr>
      <w:tr w:rsidR="00AE009D" w:rsidRPr="00AE009D" w14:paraId="3154EC13" w14:textId="77777777" w:rsidTr="00AE009D">
        <w:trPr>
          <w:trHeight w:val="315"/>
        </w:trPr>
        <w:tc>
          <w:tcPr>
            <w:tcW w:w="4664" w:type="dxa"/>
            <w:gridSpan w:val="2"/>
            <w:tcMar>
              <w:top w:w="0" w:type="dxa"/>
              <w:left w:w="108" w:type="dxa"/>
              <w:bottom w:w="0" w:type="dxa"/>
              <w:right w:w="108" w:type="dxa"/>
            </w:tcMar>
            <w:vAlign w:val="bottom"/>
            <w:hideMark/>
          </w:tcPr>
          <w:p w14:paraId="278D505C"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744" w:type="dxa"/>
            <w:tcMar>
              <w:top w:w="0" w:type="dxa"/>
              <w:left w:w="108" w:type="dxa"/>
              <w:bottom w:w="0" w:type="dxa"/>
              <w:right w:w="108" w:type="dxa"/>
            </w:tcMar>
            <w:vAlign w:val="center"/>
            <w:hideMark/>
          </w:tcPr>
          <w:p w14:paraId="7350941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845" w:type="dxa"/>
            <w:gridSpan w:val="2"/>
            <w:tcMar>
              <w:top w:w="0" w:type="dxa"/>
              <w:left w:w="108" w:type="dxa"/>
              <w:bottom w:w="0" w:type="dxa"/>
              <w:right w:w="108" w:type="dxa"/>
            </w:tcMar>
            <w:vAlign w:val="center"/>
            <w:hideMark/>
          </w:tcPr>
          <w:p w14:paraId="754E18C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964" w:type="dxa"/>
            <w:gridSpan w:val="2"/>
            <w:tcMar>
              <w:top w:w="0" w:type="dxa"/>
              <w:left w:w="108" w:type="dxa"/>
              <w:bottom w:w="0" w:type="dxa"/>
              <w:right w:w="108" w:type="dxa"/>
            </w:tcMar>
            <w:vAlign w:val="center"/>
            <w:hideMark/>
          </w:tcPr>
          <w:p w14:paraId="501AB11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945" w:type="dxa"/>
            <w:tcMar>
              <w:top w:w="0" w:type="dxa"/>
              <w:left w:w="108" w:type="dxa"/>
              <w:bottom w:w="0" w:type="dxa"/>
              <w:right w:w="108" w:type="dxa"/>
            </w:tcMar>
            <w:vAlign w:val="center"/>
            <w:hideMark/>
          </w:tcPr>
          <w:p w14:paraId="2B097F6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1032" w:type="dxa"/>
            <w:tcMar>
              <w:top w:w="0" w:type="dxa"/>
              <w:left w:w="108" w:type="dxa"/>
              <w:bottom w:w="0" w:type="dxa"/>
              <w:right w:w="108" w:type="dxa"/>
            </w:tcMar>
            <w:vAlign w:val="center"/>
            <w:hideMark/>
          </w:tcPr>
          <w:p w14:paraId="2668578C"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1060" w:type="dxa"/>
            <w:tcMar>
              <w:top w:w="0" w:type="dxa"/>
              <w:left w:w="108" w:type="dxa"/>
              <w:bottom w:w="0" w:type="dxa"/>
              <w:right w:w="108" w:type="dxa"/>
            </w:tcMar>
            <w:vAlign w:val="center"/>
            <w:hideMark/>
          </w:tcPr>
          <w:p w14:paraId="0BF36F4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918" w:type="dxa"/>
            <w:tcMar>
              <w:top w:w="0" w:type="dxa"/>
              <w:left w:w="108" w:type="dxa"/>
              <w:bottom w:w="0" w:type="dxa"/>
              <w:right w:w="108" w:type="dxa"/>
            </w:tcMar>
            <w:vAlign w:val="center"/>
            <w:hideMark/>
          </w:tcPr>
          <w:p w14:paraId="14FFB87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r>
      <w:tr w:rsidR="00AE009D" w:rsidRPr="00AE009D" w14:paraId="69D649B9" w14:textId="77777777" w:rsidTr="00AE009D">
        <w:trPr>
          <w:trHeight w:val="330"/>
        </w:trPr>
        <w:tc>
          <w:tcPr>
            <w:tcW w:w="4664" w:type="dxa"/>
            <w:gridSpan w:val="2"/>
            <w:tcMar>
              <w:top w:w="0" w:type="dxa"/>
              <w:left w:w="108" w:type="dxa"/>
              <w:bottom w:w="0" w:type="dxa"/>
              <w:right w:w="108" w:type="dxa"/>
            </w:tcMar>
            <w:vAlign w:val="bottom"/>
            <w:hideMark/>
          </w:tcPr>
          <w:p w14:paraId="21F160E2"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744" w:type="dxa"/>
            <w:tcMar>
              <w:top w:w="0" w:type="dxa"/>
              <w:left w:w="108" w:type="dxa"/>
              <w:bottom w:w="0" w:type="dxa"/>
              <w:right w:w="108" w:type="dxa"/>
            </w:tcMar>
            <w:vAlign w:val="bottom"/>
            <w:hideMark/>
          </w:tcPr>
          <w:p w14:paraId="441E789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845" w:type="dxa"/>
            <w:gridSpan w:val="2"/>
            <w:tcMar>
              <w:top w:w="0" w:type="dxa"/>
              <w:left w:w="108" w:type="dxa"/>
              <w:bottom w:w="0" w:type="dxa"/>
              <w:right w:w="108" w:type="dxa"/>
            </w:tcMar>
            <w:vAlign w:val="bottom"/>
            <w:hideMark/>
          </w:tcPr>
          <w:p w14:paraId="6006404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64" w:type="dxa"/>
            <w:gridSpan w:val="2"/>
            <w:tcMar>
              <w:top w:w="0" w:type="dxa"/>
              <w:left w:w="108" w:type="dxa"/>
              <w:bottom w:w="0" w:type="dxa"/>
              <w:right w:w="108" w:type="dxa"/>
            </w:tcMar>
            <w:vAlign w:val="bottom"/>
            <w:hideMark/>
          </w:tcPr>
          <w:p w14:paraId="6ADCDFC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45" w:type="dxa"/>
            <w:tcBorders>
              <w:top w:val="nil"/>
              <w:left w:val="nil"/>
              <w:bottom w:val="single" w:sz="8" w:space="0" w:color="auto"/>
              <w:right w:val="nil"/>
            </w:tcBorders>
            <w:tcMar>
              <w:top w:w="0" w:type="dxa"/>
              <w:left w:w="108" w:type="dxa"/>
              <w:bottom w:w="0" w:type="dxa"/>
              <w:right w:w="108" w:type="dxa"/>
            </w:tcMar>
            <w:hideMark/>
          </w:tcPr>
          <w:p w14:paraId="3682868D"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Borders>
              <w:top w:val="nil"/>
              <w:left w:val="nil"/>
              <w:bottom w:val="single" w:sz="8" w:space="0" w:color="auto"/>
              <w:right w:val="nil"/>
            </w:tcBorders>
            <w:tcMar>
              <w:top w:w="0" w:type="dxa"/>
              <w:left w:w="108" w:type="dxa"/>
              <w:bottom w:w="0" w:type="dxa"/>
              <w:right w:w="108" w:type="dxa"/>
            </w:tcMar>
            <w:hideMark/>
          </w:tcPr>
          <w:p w14:paraId="4870A95C"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Borders>
              <w:top w:val="nil"/>
              <w:left w:val="nil"/>
              <w:bottom w:val="single" w:sz="8" w:space="0" w:color="auto"/>
              <w:right w:val="nil"/>
            </w:tcBorders>
            <w:tcMar>
              <w:top w:w="0" w:type="dxa"/>
              <w:left w:w="108" w:type="dxa"/>
              <w:bottom w:w="0" w:type="dxa"/>
              <w:right w:w="108" w:type="dxa"/>
            </w:tcMar>
            <w:hideMark/>
          </w:tcPr>
          <w:p w14:paraId="251E1BF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8" w:type="dxa"/>
            <w:tcBorders>
              <w:top w:val="nil"/>
              <w:left w:val="nil"/>
              <w:bottom w:val="single" w:sz="8" w:space="0" w:color="auto"/>
              <w:right w:val="nil"/>
            </w:tcBorders>
            <w:tcMar>
              <w:top w:w="0" w:type="dxa"/>
              <w:left w:w="108" w:type="dxa"/>
              <w:bottom w:w="0" w:type="dxa"/>
              <w:right w:w="108" w:type="dxa"/>
            </w:tcMar>
            <w:vAlign w:val="bottom"/>
            <w:hideMark/>
          </w:tcPr>
          <w:p w14:paraId="0F23C201"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3B4D332" w14:textId="77777777" w:rsidTr="00AE009D">
        <w:trPr>
          <w:trHeight w:val="315"/>
        </w:trPr>
        <w:tc>
          <w:tcPr>
            <w:tcW w:w="46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5CD7223C"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44494471"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At 1 April 2019</w:t>
            </w:r>
          </w:p>
        </w:tc>
        <w:tc>
          <w:tcPr>
            <w:tcW w:w="74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9D38B6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1,602</w:t>
            </w:r>
          </w:p>
        </w:tc>
        <w:tc>
          <w:tcPr>
            <w:tcW w:w="845"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5398AF6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2,580</w:t>
            </w:r>
          </w:p>
        </w:tc>
        <w:tc>
          <w:tcPr>
            <w:tcW w:w="9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238E2EA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90</w:t>
            </w:r>
          </w:p>
        </w:tc>
        <w:tc>
          <w:tcPr>
            <w:tcW w:w="945" w:type="dxa"/>
            <w:tcBorders>
              <w:top w:val="nil"/>
              <w:left w:val="nil"/>
              <w:bottom w:val="single" w:sz="8" w:space="0" w:color="auto"/>
              <w:right w:val="nil"/>
            </w:tcBorders>
            <w:tcMar>
              <w:top w:w="0" w:type="dxa"/>
              <w:left w:w="108" w:type="dxa"/>
              <w:bottom w:w="0" w:type="dxa"/>
              <w:right w:w="108" w:type="dxa"/>
            </w:tcMar>
            <w:vAlign w:val="center"/>
            <w:hideMark/>
          </w:tcPr>
          <w:p w14:paraId="20A1936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(61)</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71A0366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5</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2A54B7E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(4,014)</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0F21187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202</w:t>
            </w:r>
          </w:p>
        </w:tc>
      </w:tr>
      <w:tr w:rsidR="00AE009D" w:rsidRPr="00AE009D" w14:paraId="779EEA7B" w14:textId="77777777" w:rsidTr="00AE009D">
        <w:trPr>
          <w:trHeight w:val="315"/>
        </w:trPr>
        <w:tc>
          <w:tcPr>
            <w:tcW w:w="4664" w:type="dxa"/>
            <w:gridSpan w:val="2"/>
            <w:tcBorders>
              <w:top w:val="nil"/>
              <w:left w:val="nil"/>
              <w:bottom w:val="nil"/>
              <w:right w:val="nil"/>
            </w:tcBorders>
            <w:tcMar>
              <w:top w:w="0" w:type="dxa"/>
              <w:left w:w="108" w:type="dxa"/>
              <w:bottom w:w="0" w:type="dxa"/>
              <w:right w:w="108" w:type="dxa"/>
            </w:tcMar>
            <w:vAlign w:val="bottom"/>
            <w:hideMark/>
          </w:tcPr>
          <w:p w14:paraId="4B16D49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lastRenderedPageBreak/>
              <w:t> </w:t>
            </w:r>
          </w:p>
        </w:tc>
        <w:tc>
          <w:tcPr>
            <w:tcW w:w="744" w:type="dxa"/>
            <w:tcBorders>
              <w:top w:val="nil"/>
              <w:left w:val="nil"/>
              <w:bottom w:val="nil"/>
              <w:right w:val="nil"/>
            </w:tcBorders>
            <w:tcMar>
              <w:top w:w="0" w:type="dxa"/>
              <w:left w:w="108" w:type="dxa"/>
              <w:bottom w:w="0" w:type="dxa"/>
              <w:right w:w="108" w:type="dxa"/>
            </w:tcMar>
            <w:vAlign w:val="bottom"/>
            <w:hideMark/>
          </w:tcPr>
          <w:p w14:paraId="45E6A43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845" w:type="dxa"/>
            <w:gridSpan w:val="2"/>
            <w:tcBorders>
              <w:top w:val="nil"/>
              <w:left w:val="nil"/>
              <w:bottom w:val="nil"/>
              <w:right w:val="nil"/>
            </w:tcBorders>
            <w:tcMar>
              <w:top w:w="0" w:type="dxa"/>
              <w:left w:w="108" w:type="dxa"/>
              <w:bottom w:w="0" w:type="dxa"/>
              <w:right w:w="108" w:type="dxa"/>
            </w:tcMar>
            <w:vAlign w:val="bottom"/>
            <w:hideMark/>
          </w:tcPr>
          <w:p w14:paraId="3C37638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64" w:type="dxa"/>
            <w:gridSpan w:val="2"/>
            <w:tcBorders>
              <w:top w:val="nil"/>
              <w:left w:val="nil"/>
              <w:bottom w:val="nil"/>
              <w:right w:val="nil"/>
            </w:tcBorders>
            <w:tcMar>
              <w:top w:w="0" w:type="dxa"/>
              <w:left w:w="108" w:type="dxa"/>
              <w:bottom w:w="0" w:type="dxa"/>
              <w:right w:w="108" w:type="dxa"/>
            </w:tcMar>
            <w:vAlign w:val="bottom"/>
            <w:hideMark/>
          </w:tcPr>
          <w:p w14:paraId="33F2ABD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45" w:type="dxa"/>
            <w:tcMar>
              <w:top w:w="0" w:type="dxa"/>
              <w:left w:w="108" w:type="dxa"/>
              <w:bottom w:w="0" w:type="dxa"/>
              <w:right w:w="108" w:type="dxa"/>
            </w:tcMar>
            <w:vAlign w:val="bottom"/>
            <w:hideMark/>
          </w:tcPr>
          <w:p w14:paraId="7FB7BAA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Mar>
              <w:top w:w="0" w:type="dxa"/>
              <w:left w:w="108" w:type="dxa"/>
              <w:bottom w:w="0" w:type="dxa"/>
              <w:right w:w="108" w:type="dxa"/>
            </w:tcMar>
            <w:vAlign w:val="bottom"/>
            <w:hideMark/>
          </w:tcPr>
          <w:p w14:paraId="4680D7E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Mar>
              <w:top w:w="0" w:type="dxa"/>
              <w:left w:w="108" w:type="dxa"/>
              <w:bottom w:w="0" w:type="dxa"/>
              <w:right w:w="108" w:type="dxa"/>
            </w:tcMar>
            <w:vAlign w:val="bottom"/>
            <w:hideMark/>
          </w:tcPr>
          <w:p w14:paraId="57E6E7E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918" w:type="dxa"/>
            <w:tcMar>
              <w:top w:w="0" w:type="dxa"/>
              <w:left w:w="108" w:type="dxa"/>
              <w:bottom w:w="0" w:type="dxa"/>
              <w:right w:w="108" w:type="dxa"/>
            </w:tcMar>
            <w:vAlign w:val="bottom"/>
            <w:hideMark/>
          </w:tcPr>
          <w:p w14:paraId="505C1503"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CB42FAA" w14:textId="77777777" w:rsidTr="00AE009D">
        <w:trPr>
          <w:trHeight w:val="315"/>
        </w:trPr>
        <w:tc>
          <w:tcPr>
            <w:tcW w:w="4664" w:type="dxa"/>
            <w:gridSpan w:val="2"/>
            <w:tcMar>
              <w:top w:w="0" w:type="dxa"/>
              <w:left w:w="108" w:type="dxa"/>
              <w:bottom w:w="0" w:type="dxa"/>
              <w:right w:w="108" w:type="dxa"/>
            </w:tcMar>
            <w:vAlign w:val="center"/>
            <w:hideMark/>
          </w:tcPr>
          <w:p w14:paraId="26965B15"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Profit for the year</w:t>
            </w:r>
          </w:p>
        </w:tc>
        <w:tc>
          <w:tcPr>
            <w:tcW w:w="744" w:type="dxa"/>
            <w:tcMar>
              <w:top w:w="0" w:type="dxa"/>
              <w:left w:w="108" w:type="dxa"/>
              <w:bottom w:w="0" w:type="dxa"/>
              <w:right w:w="108" w:type="dxa"/>
            </w:tcMar>
            <w:vAlign w:val="bottom"/>
            <w:hideMark/>
          </w:tcPr>
          <w:p w14:paraId="71310BC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Mar>
              <w:top w:w="0" w:type="dxa"/>
              <w:left w:w="108" w:type="dxa"/>
              <w:bottom w:w="0" w:type="dxa"/>
              <w:right w:w="108" w:type="dxa"/>
            </w:tcMar>
            <w:vAlign w:val="bottom"/>
            <w:hideMark/>
          </w:tcPr>
          <w:p w14:paraId="019D67E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Mar>
              <w:top w:w="0" w:type="dxa"/>
              <w:left w:w="108" w:type="dxa"/>
              <w:bottom w:w="0" w:type="dxa"/>
              <w:right w:w="108" w:type="dxa"/>
            </w:tcMar>
            <w:vAlign w:val="bottom"/>
            <w:hideMark/>
          </w:tcPr>
          <w:p w14:paraId="0EA89D2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Mar>
              <w:top w:w="0" w:type="dxa"/>
              <w:left w:w="108" w:type="dxa"/>
              <w:bottom w:w="0" w:type="dxa"/>
              <w:right w:w="108" w:type="dxa"/>
            </w:tcMar>
            <w:vAlign w:val="bottom"/>
            <w:hideMark/>
          </w:tcPr>
          <w:p w14:paraId="75A2BC6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Mar>
              <w:top w:w="0" w:type="dxa"/>
              <w:left w:w="108" w:type="dxa"/>
              <w:bottom w:w="0" w:type="dxa"/>
              <w:right w:w="108" w:type="dxa"/>
            </w:tcMar>
            <w:vAlign w:val="bottom"/>
            <w:hideMark/>
          </w:tcPr>
          <w:p w14:paraId="7F21FCA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w:t>
            </w:r>
          </w:p>
        </w:tc>
        <w:tc>
          <w:tcPr>
            <w:tcW w:w="1060" w:type="dxa"/>
            <w:tcMar>
              <w:top w:w="0" w:type="dxa"/>
              <w:left w:w="108" w:type="dxa"/>
              <w:bottom w:w="0" w:type="dxa"/>
              <w:right w:w="108" w:type="dxa"/>
            </w:tcMar>
            <w:vAlign w:val="center"/>
            <w:hideMark/>
          </w:tcPr>
          <w:p w14:paraId="55E6EE2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(151)</w:t>
            </w:r>
          </w:p>
        </w:tc>
        <w:tc>
          <w:tcPr>
            <w:tcW w:w="918" w:type="dxa"/>
            <w:tcMar>
              <w:top w:w="0" w:type="dxa"/>
              <w:left w:w="108" w:type="dxa"/>
              <w:bottom w:w="0" w:type="dxa"/>
              <w:right w:w="108" w:type="dxa"/>
            </w:tcMar>
            <w:vAlign w:val="center"/>
            <w:hideMark/>
          </w:tcPr>
          <w:p w14:paraId="174A693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(151)</w:t>
            </w:r>
          </w:p>
        </w:tc>
      </w:tr>
      <w:tr w:rsidR="00AE009D" w:rsidRPr="00AE009D" w14:paraId="13F56806" w14:textId="77777777" w:rsidTr="00AE009D">
        <w:trPr>
          <w:trHeight w:val="315"/>
        </w:trPr>
        <w:tc>
          <w:tcPr>
            <w:tcW w:w="4664" w:type="dxa"/>
            <w:gridSpan w:val="2"/>
            <w:tcBorders>
              <w:top w:val="nil"/>
              <w:left w:val="nil"/>
              <w:bottom w:val="single" w:sz="8" w:space="0" w:color="auto"/>
              <w:right w:val="nil"/>
            </w:tcBorders>
            <w:tcMar>
              <w:top w:w="0" w:type="dxa"/>
              <w:left w:w="108" w:type="dxa"/>
              <w:bottom w:w="0" w:type="dxa"/>
              <w:right w:w="108" w:type="dxa"/>
            </w:tcMar>
            <w:vAlign w:val="center"/>
            <w:hideMark/>
          </w:tcPr>
          <w:p w14:paraId="479552D1"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Other comprehensive Loss</w:t>
            </w:r>
          </w:p>
        </w:tc>
        <w:tc>
          <w:tcPr>
            <w:tcW w:w="744" w:type="dxa"/>
            <w:tcBorders>
              <w:top w:val="nil"/>
              <w:left w:val="nil"/>
              <w:bottom w:val="single" w:sz="8" w:space="0" w:color="auto"/>
              <w:right w:val="nil"/>
            </w:tcBorders>
            <w:tcMar>
              <w:top w:w="0" w:type="dxa"/>
              <w:left w:w="108" w:type="dxa"/>
              <w:bottom w:w="0" w:type="dxa"/>
              <w:right w:w="108" w:type="dxa"/>
            </w:tcMar>
            <w:vAlign w:val="bottom"/>
            <w:hideMark/>
          </w:tcPr>
          <w:p w14:paraId="4696EF6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Borders>
              <w:top w:val="nil"/>
              <w:left w:val="nil"/>
              <w:bottom w:val="single" w:sz="8" w:space="0" w:color="auto"/>
              <w:right w:val="nil"/>
            </w:tcBorders>
            <w:tcMar>
              <w:top w:w="0" w:type="dxa"/>
              <w:left w:w="108" w:type="dxa"/>
              <w:bottom w:w="0" w:type="dxa"/>
              <w:right w:w="108" w:type="dxa"/>
            </w:tcMar>
            <w:vAlign w:val="bottom"/>
            <w:hideMark/>
          </w:tcPr>
          <w:p w14:paraId="276ADCD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Borders>
              <w:top w:val="nil"/>
              <w:left w:val="nil"/>
              <w:bottom w:val="single" w:sz="8" w:space="0" w:color="auto"/>
              <w:right w:val="nil"/>
            </w:tcBorders>
            <w:tcMar>
              <w:top w:w="0" w:type="dxa"/>
              <w:left w:w="108" w:type="dxa"/>
              <w:bottom w:w="0" w:type="dxa"/>
              <w:right w:w="108" w:type="dxa"/>
            </w:tcMar>
            <w:vAlign w:val="bottom"/>
            <w:hideMark/>
          </w:tcPr>
          <w:p w14:paraId="49A80F0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Borders>
              <w:top w:val="nil"/>
              <w:left w:val="nil"/>
              <w:bottom w:val="single" w:sz="8" w:space="0" w:color="auto"/>
              <w:right w:val="nil"/>
            </w:tcBorders>
            <w:tcMar>
              <w:top w:w="0" w:type="dxa"/>
              <w:left w:w="108" w:type="dxa"/>
              <w:bottom w:w="0" w:type="dxa"/>
              <w:right w:w="108" w:type="dxa"/>
            </w:tcMar>
            <w:vAlign w:val="bottom"/>
            <w:hideMark/>
          </w:tcPr>
          <w:p w14:paraId="4F56873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458D4D5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w:t>
            </w:r>
          </w:p>
        </w:tc>
        <w:tc>
          <w:tcPr>
            <w:tcW w:w="1060" w:type="dxa"/>
            <w:tcBorders>
              <w:top w:val="nil"/>
              <w:left w:val="nil"/>
              <w:bottom w:val="single" w:sz="8" w:space="0" w:color="auto"/>
              <w:right w:val="nil"/>
            </w:tcBorders>
            <w:tcMar>
              <w:top w:w="0" w:type="dxa"/>
              <w:left w:w="108" w:type="dxa"/>
              <w:bottom w:w="0" w:type="dxa"/>
              <w:right w:w="108" w:type="dxa"/>
            </w:tcMar>
            <w:vAlign w:val="bottom"/>
            <w:hideMark/>
          </w:tcPr>
          <w:p w14:paraId="58DD346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39307B4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w:t>
            </w:r>
          </w:p>
        </w:tc>
      </w:tr>
      <w:tr w:rsidR="00AE009D" w:rsidRPr="00AE009D" w14:paraId="03103C84" w14:textId="77777777" w:rsidTr="00AE009D">
        <w:trPr>
          <w:trHeight w:val="315"/>
        </w:trPr>
        <w:tc>
          <w:tcPr>
            <w:tcW w:w="4664" w:type="dxa"/>
            <w:gridSpan w:val="2"/>
            <w:tcBorders>
              <w:top w:val="nil"/>
              <w:left w:val="nil"/>
              <w:bottom w:val="nil"/>
              <w:right w:val="nil"/>
            </w:tcBorders>
            <w:tcMar>
              <w:top w:w="0" w:type="dxa"/>
              <w:left w:w="108" w:type="dxa"/>
              <w:bottom w:w="0" w:type="dxa"/>
              <w:right w:w="108" w:type="dxa"/>
            </w:tcMar>
            <w:vAlign w:val="center"/>
            <w:hideMark/>
          </w:tcPr>
          <w:p w14:paraId="48A467E0"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Total Comprehensive loss for the year</w:t>
            </w:r>
          </w:p>
        </w:tc>
        <w:tc>
          <w:tcPr>
            <w:tcW w:w="744" w:type="dxa"/>
            <w:tcBorders>
              <w:top w:val="nil"/>
              <w:left w:val="nil"/>
              <w:bottom w:val="nil"/>
              <w:right w:val="nil"/>
            </w:tcBorders>
            <w:tcMar>
              <w:top w:w="0" w:type="dxa"/>
              <w:left w:w="108" w:type="dxa"/>
              <w:bottom w:w="0" w:type="dxa"/>
              <w:right w:w="108" w:type="dxa"/>
            </w:tcMar>
            <w:vAlign w:val="center"/>
            <w:hideMark/>
          </w:tcPr>
          <w:p w14:paraId="6631D0F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Borders>
              <w:top w:val="nil"/>
              <w:left w:val="nil"/>
              <w:bottom w:val="nil"/>
              <w:right w:val="nil"/>
            </w:tcBorders>
            <w:tcMar>
              <w:top w:w="0" w:type="dxa"/>
              <w:left w:w="108" w:type="dxa"/>
              <w:bottom w:w="0" w:type="dxa"/>
              <w:right w:w="108" w:type="dxa"/>
            </w:tcMar>
            <w:vAlign w:val="center"/>
            <w:hideMark/>
          </w:tcPr>
          <w:p w14:paraId="202A96B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Borders>
              <w:top w:val="nil"/>
              <w:left w:val="nil"/>
              <w:bottom w:val="nil"/>
              <w:right w:val="nil"/>
            </w:tcBorders>
            <w:tcMar>
              <w:top w:w="0" w:type="dxa"/>
              <w:left w:w="108" w:type="dxa"/>
              <w:bottom w:w="0" w:type="dxa"/>
              <w:right w:w="108" w:type="dxa"/>
            </w:tcMar>
            <w:vAlign w:val="center"/>
            <w:hideMark/>
          </w:tcPr>
          <w:p w14:paraId="1CE464B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Borders>
              <w:top w:val="nil"/>
              <w:left w:val="nil"/>
              <w:bottom w:val="single" w:sz="8" w:space="0" w:color="auto"/>
              <w:right w:val="nil"/>
            </w:tcBorders>
            <w:tcMar>
              <w:top w:w="0" w:type="dxa"/>
              <w:left w:w="108" w:type="dxa"/>
              <w:bottom w:w="0" w:type="dxa"/>
              <w:right w:w="108" w:type="dxa"/>
            </w:tcMar>
            <w:vAlign w:val="center"/>
            <w:hideMark/>
          </w:tcPr>
          <w:p w14:paraId="00F8747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56996EC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573B5E7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(151)</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1BA4244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(115)</w:t>
            </w:r>
          </w:p>
        </w:tc>
      </w:tr>
      <w:tr w:rsidR="00AE009D" w:rsidRPr="00AE009D" w14:paraId="425760ED" w14:textId="77777777" w:rsidTr="00AE009D">
        <w:trPr>
          <w:trHeight w:val="315"/>
        </w:trPr>
        <w:tc>
          <w:tcPr>
            <w:tcW w:w="4664" w:type="dxa"/>
            <w:gridSpan w:val="2"/>
            <w:tcBorders>
              <w:top w:val="single" w:sz="8" w:space="0" w:color="auto"/>
              <w:left w:val="nil"/>
              <w:bottom w:val="nil"/>
              <w:right w:val="nil"/>
            </w:tcBorders>
            <w:tcMar>
              <w:top w:w="0" w:type="dxa"/>
              <w:left w:w="108" w:type="dxa"/>
              <w:bottom w:w="0" w:type="dxa"/>
              <w:right w:w="108" w:type="dxa"/>
            </w:tcMar>
            <w:vAlign w:val="center"/>
            <w:hideMark/>
          </w:tcPr>
          <w:p w14:paraId="20EE5871"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At 31 March 2020</w:t>
            </w:r>
          </w:p>
        </w:tc>
        <w:tc>
          <w:tcPr>
            <w:tcW w:w="744" w:type="dxa"/>
            <w:tcBorders>
              <w:top w:val="single" w:sz="8" w:space="0" w:color="auto"/>
              <w:left w:val="nil"/>
              <w:bottom w:val="nil"/>
              <w:right w:val="nil"/>
            </w:tcBorders>
            <w:tcMar>
              <w:top w:w="0" w:type="dxa"/>
              <w:left w:w="108" w:type="dxa"/>
              <w:bottom w:w="0" w:type="dxa"/>
              <w:right w:w="108" w:type="dxa"/>
            </w:tcMar>
            <w:vAlign w:val="center"/>
            <w:hideMark/>
          </w:tcPr>
          <w:p w14:paraId="72C39B4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1,602</w:t>
            </w:r>
          </w:p>
        </w:tc>
        <w:tc>
          <w:tcPr>
            <w:tcW w:w="845" w:type="dxa"/>
            <w:gridSpan w:val="2"/>
            <w:tcBorders>
              <w:top w:val="single" w:sz="8" w:space="0" w:color="auto"/>
              <w:left w:val="nil"/>
              <w:bottom w:val="nil"/>
              <w:right w:val="nil"/>
            </w:tcBorders>
            <w:tcMar>
              <w:top w:w="0" w:type="dxa"/>
              <w:left w:w="108" w:type="dxa"/>
              <w:bottom w:w="0" w:type="dxa"/>
              <w:right w:w="108" w:type="dxa"/>
            </w:tcMar>
            <w:vAlign w:val="center"/>
            <w:hideMark/>
          </w:tcPr>
          <w:p w14:paraId="5528D46C"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2,580</w:t>
            </w:r>
          </w:p>
        </w:tc>
        <w:tc>
          <w:tcPr>
            <w:tcW w:w="964" w:type="dxa"/>
            <w:gridSpan w:val="2"/>
            <w:tcBorders>
              <w:top w:val="single" w:sz="8" w:space="0" w:color="auto"/>
              <w:left w:val="nil"/>
              <w:bottom w:val="nil"/>
              <w:right w:val="nil"/>
            </w:tcBorders>
            <w:tcMar>
              <w:top w:w="0" w:type="dxa"/>
              <w:left w:w="108" w:type="dxa"/>
              <w:bottom w:w="0" w:type="dxa"/>
              <w:right w:w="108" w:type="dxa"/>
            </w:tcMar>
            <w:vAlign w:val="center"/>
            <w:hideMark/>
          </w:tcPr>
          <w:p w14:paraId="1A6A272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90</w:t>
            </w:r>
          </w:p>
        </w:tc>
        <w:tc>
          <w:tcPr>
            <w:tcW w:w="945" w:type="dxa"/>
            <w:tcBorders>
              <w:top w:val="nil"/>
              <w:left w:val="nil"/>
              <w:bottom w:val="nil"/>
              <w:right w:val="nil"/>
            </w:tcBorders>
            <w:tcMar>
              <w:top w:w="0" w:type="dxa"/>
              <w:left w:w="108" w:type="dxa"/>
              <w:bottom w:w="0" w:type="dxa"/>
              <w:right w:w="108" w:type="dxa"/>
            </w:tcMar>
            <w:vAlign w:val="center"/>
            <w:hideMark/>
          </w:tcPr>
          <w:p w14:paraId="756CB69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(61)</w:t>
            </w:r>
          </w:p>
        </w:tc>
        <w:tc>
          <w:tcPr>
            <w:tcW w:w="1032" w:type="dxa"/>
            <w:tcBorders>
              <w:top w:val="nil"/>
              <w:left w:val="nil"/>
              <w:bottom w:val="nil"/>
              <w:right w:val="nil"/>
            </w:tcBorders>
            <w:tcMar>
              <w:top w:w="0" w:type="dxa"/>
              <w:left w:w="108" w:type="dxa"/>
              <w:bottom w:w="0" w:type="dxa"/>
              <w:right w:w="108" w:type="dxa"/>
            </w:tcMar>
            <w:vAlign w:val="center"/>
            <w:hideMark/>
          </w:tcPr>
          <w:p w14:paraId="66A4C9BE"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41</w:t>
            </w:r>
          </w:p>
        </w:tc>
        <w:tc>
          <w:tcPr>
            <w:tcW w:w="1060" w:type="dxa"/>
            <w:tcBorders>
              <w:top w:val="nil"/>
              <w:left w:val="nil"/>
              <w:bottom w:val="nil"/>
              <w:right w:val="nil"/>
            </w:tcBorders>
            <w:tcMar>
              <w:top w:w="0" w:type="dxa"/>
              <w:left w:w="108" w:type="dxa"/>
              <w:bottom w:w="0" w:type="dxa"/>
              <w:right w:w="108" w:type="dxa"/>
            </w:tcMar>
            <w:vAlign w:val="center"/>
            <w:hideMark/>
          </w:tcPr>
          <w:p w14:paraId="5ADC5B9C"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(4,165)</w:t>
            </w:r>
          </w:p>
        </w:tc>
        <w:tc>
          <w:tcPr>
            <w:tcW w:w="918" w:type="dxa"/>
            <w:tcBorders>
              <w:top w:val="nil"/>
              <w:left w:val="nil"/>
              <w:bottom w:val="nil"/>
              <w:right w:val="nil"/>
            </w:tcBorders>
            <w:tcMar>
              <w:top w:w="0" w:type="dxa"/>
              <w:left w:w="108" w:type="dxa"/>
              <w:bottom w:w="0" w:type="dxa"/>
              <w:right w:w="108" w:type="dxa"/>
            </w:tcMar>
            <w:vAlign w:val="center"/>
            <w:hideMark/>
          </w:tcPr>
          <w:p w14:paraId="52B3447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87</w:t>
            </w:r>
          </w:p>
        </w:tc>
      </w:tr>
      <w:tr w:rsidR="00AE009D" w:rsidRPr="00AE009D" w14:paraId="7178AAE3" w14:textId="77777777" w:rsidTr="00AE009D">
        <w:trPr>
          <w:trHeight w:val="315"/>
        </w:trPr>
        <w:tc>
          <w:tcPr>
            <w:tcW w:w="4664" w:type="dxa"/>
            <w:gridSpan w:val="2"/>
            <w:tcBorders>
              <w:top w:val="nil"/>
              <w:left w:val="nil"/>
              <w:bottom w:val="single" w:sz="8" w:space="0" w:color="auto"/>
              <w:right w:val="nil"/>
            </w:tcBorders>
            <w:tcMar>
              <w:top w:w="0" w:type="dxa"/>
              <w:left w:w="108" w:type="dxa"/>
              <w:bottom w:w="0" w:type="dxa"/>
              <w:right w:w="108" w:type="dxa"/>
            </w:tcMar>
            <w:vAlign w:val="center"/>
            <w:hideMark/>
          </w:tcPr>
          <w:p w14:paraId="2D2E450E"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631C059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At 1 April 2019</w:t>
            </w:r>
          </w:p>
        </w:tc>
        <w:tc>
          <w:tcPr>
            <w:tcW w:w="744" w:type="dxa"/>
            <w:tcBorders>
              <w:top w:val="nil"/>
              <w:left w:val="nil"/>
              <w:bottom w:val="single" w:sz="8" w:space="0" w:color="auto"/>
              <w:right w:val="nil"/>
            </w:tcBorders>
            <w:tcMar>
              <w:top w:w="0" w:type="dxa"/>
              <w:left w:w="108" w:type="dxa"/>
              <w:bottom w:w="0" w:type="dxa"/>
              <w:right w:w="108" w:type="dxa"/>
            </w:tcMar>
            <w:vAlign w:val="center"/>
            <w:hideMark/>
          </w:tcPr>
          <w:p w14:paraId="450EA9E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5E99B48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1,602</w:t>
            </w:r>
          </w:p>
        </w:tc>
        <w:tc>
          <w:tcPr>
            <w:tcW w:w="845" w:type="dxa"/>
            <w:gridSpan w:val="2"/>
            <w:tcBorders>
              <w:top w:val="nil"/>
              <w:left w:val="nil"/>
              <w:bottom w:val="single" w:sz="8" w:space="0" w:color="auto"/>
              <w:right w:val="nil"/>
            </w:tcBorders>
            <w:tcMar>
              <w:top w:w="0" w:type="dxa"/>
              <w:left w:w="108" w:type="dxa"/>
              <w:bottom w:w="0" w:type="dxa"/>
              <w:right w:w="108" w:type="dxa"/>
            </w:tcMar>
            <w:vAlign w:val="center"/>
            <w:hideMark/>
          </w:tcPr>
          <w:p w14:paraId="49B05BB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0DBA604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2,580</w:t>
            </w:r>
          </w:p>
        </w:tc>
        <w:tc>
          <w:tcPr>
            <w:tcW w:w="964" w:type="dxa"/>
            <w:gridSpan w:val="2"/>
            <w:tcBorders>
              <w:top w:val="nil"/>
              <w:left w:val="nil"/>
              <w:bottom w:val="single" w:sz="8" w:space="0" w:color="auto"/>
              <w:right w:val="nil"/>
            </w:tcBorders>
            <w:tcMar>
              <w:top w:w="0" w:type="dxa"/>
              <w:left w:w="108" w:type="dxa"/>
              <w:bottom w:w="0" w:type="dxa"/>
              <w:right w:w="108" w:type="dxa"/>
            </w:tcMar>
            <w:vAlign w:val="center"/>
            <w:hideMark/>
          </w:tcPr>
          <w:p w14:paraId="420D635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16A97DC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90</w:t>
            </w:r>
          </w:p>
        </w:tc>
        <w:tc>
          <w:tcPr>
            <w:tcW w:w="945" w:type="dxa"/>
            <w:tcBorders>
              <w:top w:val="nil"/>
              <w:left w:val="nil"/>
              <w:bottom w:val="single" w:sz="8" w:space="0" w:color="auto"/>
              <w:right w:val="nil"/>
            </w:tcBorders>
            <w:tcMar>
              <w:top w:w="0" w:type="dxa"/>
              <w:left w:w="108" w:type="dxa"/>
              <w:bottom w:w="0" w:type="dxa"/>
              <w:right w:w="108" w:type="dxa"/>
            </w:tcMar>
            <w:vAlign w:val="center"/>
            <w:hideMark/>
          </w:tcPr>
          <w:p w14:paraId="7F4B7F2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0E59F40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(61)</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2BF389E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38FF640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5</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38AE127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09079E4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(4,014)</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0450AA7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w:t>
            </w:r>
          </w:p>
          <w:p w14:paraId="25A9784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202</w:t>
            </w:r>
          </w:p>
        </w:tc>
      </w:tr>
      <w:tr w:rsidR="00AE009D" w:rsidRPr="00AE009D" w14:paraId="4FEADED3" w14:textId="77777777" w:rsidTr="00AE009D">
        <w:trPr>
          <w:trHeight w:val="315"/>
        </w:trPr>
        <w:tc>
          <w:tcPr>
            <w:tcW w:w="4664" w:type="dxa"/>
            <w:gridSpan w:val="2"/>
            <w:tcBorders>
              <w:top w:val="nil"/>
              <w:left w:val="nil"/>
              <w:bottom w:val="nil"/>
              <w:right w:val="nil"/>
            </w:tcBorders>
            <w:tcMar>
              <w:top w:w="0" w:type="dxa"/>
              <w:left w:w="108" w:type="dxa"/>
              <w:bottom w:w="0" w:type="dxa"/>
              <w:right w:w="108" w:type="dxa"/>
            </w:tcMar>
            <w:vAlign w:val="bottom"/>
            <w:hideMark/>
          </w:tcPr>
          <w:p w14:paraId="3D40B7E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744" w:type="dxa"/>
            <w:tcBorders>
              <w:top w:val="nil"/>
              <w:left w:val="nil"/>
              <w:bottom w:val="nil"/>
              <w:right w:val="nil"/>
            </w:tcBorders>
            <w:tcMar>
              <w:top w:w="0" w:type="dxa"/>
              <w:left w:w="108" w:type="dxa"/>
              <w:bottom w:w="0" w:type="dxa"/>
              <w:right w:w="108" w:type="dxa"/>
            </w:tcMar>
            <w:vAlign w:val="bottom"/>
            <w:hideMark/>
          </w:tcPr>
          <w:p w14:paraId="76DC196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845" w:type="dxa"/>
            <w:gridSpan w:val="2"/>
            <w:tcBorders>
              <w:top w:val="nil"/>
              <w:left w:val="nil"/>
              <w:bottom w:val="nil"/>
              <w:right w:val="nil"/>
            </w:tcBorders>
            <w:tcMar>
              <w:top w:w="0" w:type="dxa"/>
              <w:left w:w="108" w:type="dxa"/>
              <w:bottom w:w="0" w:type="dxa"/>
              <w:right w:w="108" w:type="dxa"/>
            </w:tcMar>
            <w:vAlign w:val="bottom"/>
            <w:hideMark/>
          </w:tcPr>
          <w:p w14:paraId="74C80B6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64" w:type="dxa"/>
            <w:gridSpan w:val="2"/>
            <w:tcBorders>
              <w:top w:val="nil"/>
              <w:left w:val="nil"/>
              <w:bottom w:val="nil"/>
              <w:right w:val="nil"/>
            </w:tcBorders>
            <w:tcMar>
              <w:top w:w="0" w:type="dxa"/>
              <w:left w:w="108" w:type="dxa"/>
              <w:bottom w:w="0" w:type="dxa"/>
              <w:right w:w="108" w:type="dxa"/>
            </w:tcMar>
            <w:vAlign w:val="bottom"/>
            <w:hideMark/>
          </w:tcPr>
          <w:p w14:paraId="396AD0ED"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45" w:type="dxa"/>
            <w:tcBorders>
              <w:top w:val="nil"/>
              <w:left w:val="nil"/>
              <w:bottom w:val="nil"/>
              <w:right w:val="nil"/>
            </w:tcBorders>
            <w:tcMar>
              <w:top w:w="0" w:type="dxa"/>
              <w:left w:w="108" w:type="dxa"/>
              <w:bottom w:w="0" w:type="dxa"/>
              <w:right w:w="108" w:type="dxa"/>
            </w:tcMar>
            <w:vAlign w:val="bottom"/>
            <w:hideMark/>
          </w:tcPr>
          <w:p w14:paraId="51DDF1D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Borders>
              <w:top w:val="nil"/>
              <w:left w:val="nil"/>
              <w:bottom w:val="nil"/>
              <w:right w:val="nil"/>
            </w:tcBorders>
            <w:tcMar>
              <w:top w:w="0" w:type="dxa"/>
              <w:left w:w="108" w:type="dxa"/>
              <w:bottom w:w="0" w:type="dxa"/>
              <w:right w:w="108" w:type="dxa"/>
            </w:tcMar>
            <w:vAlign w:val="bottom"/>
            <w:hideMark/>
          </w:tcPr>
          <w:p w14:paraId="4A935B2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Borders>
              <w:top w:val="nil"/>
              <w:left w:val="nil"/>
              <w:bottom w:val="nil"/>
              <w:right w:val="nil"/>
            </w:tcBorders>
            <w:tcMar>
              <w:top w:w="0" w:type="dxa"/>
              <w:left w:w="108" w:type="dxa"/>
              <w:bottom w:w="0" w:type="dxa"/>
              <w:right w:w="108" w:type="dxa"/>
            </w:tcMar>
            <w:vAlign w:val="bottom"/>
            <w:hideMark/>
          </w:tcPr>
          <w:p w14:paraId="121C10A1"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8" w:type="dxa"/>
            <w:tcBorders>
              <w:top w:val="nil"/>
              <w:left w:val="nil"/>
              <w:bottom w:val="nil"/>
              <w:right w:val="nil"/>
            </w:tcBorders>
            <w:tcMar>
              <w:top w:w="0" w:type="dxa"/>
              <w:left w:w="108" w:type="dxa"/>
              <w:bottom w:w="0" w:type="dxa"/>
              <w:right w:w="108" w:type="dxa"/>
            </w:tcMar>
            <w:vAlign w:val="bottom"/>
            <w:hideMark/>
          </w:tcPr>
          <w:p w14:paraId="59B6ABD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B057E7A" w14:textId="77777777" w:rsidTr="00AE009D">
        <w:trPr>
          <w:trHeight w:val="315"/>
        </w:trPr>
        <w:tc>
          <w:tcPr>
            <w:tcW w:w="4664" w:type="dxa"/>
            <w:gridSpan w:val="2"/>
            <w:tcMar>
              <w:top w:w="0" w:type="dxa"/>
              <w:left w:w="108" w:type="dxa"/>
              <w:bottom w:w="0" w:type="dxa"/>
              <w:right w:w="108" w:type="dxa"/>
            </w:tcMar>
            <w:vAlign w:val="center"/>
            <w:hideMark/>
          </w:tcPr>
          <w:p w14:paraId="00731355"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Profit for the year</w:t>
            </w:r>
          </w:p>
        </w:tc>
        <w:tc>
          <w:tcPr>
            <w:tcW w:w="744" w:type="dxa"/>
            <w:tcMar>
              <w:top w:w="0" w:type="dxa"/>
              <w:left w:w="108" w:type="dxa"/>
              <w:bottom w:w="0" w:type="dxa"/>
              <w:right w:w="108" w:type="dxa"/>
            </w:tcMar>
            <w:vAlign w:val="bottom"/>
            <w:hideMark/>
          </w:tcPr>
          <w:p w14:paraId="59B94CB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Mar>
              <w:top w:w="0" w:type="dxa"/>
              <w:left w:w="108" w:type="dxa"/>
              <w:bottom w:w="0" w:type="dxa"/>
              <w:right w:w="108" w:type="dxa"/>
            </w:tcMar>
            <w:vAlign w:val="bottom"/>
            <w:hideMark/>
          </w:tcPr>
          <w:p w14:paraId="34C0E21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Mar>
              <w:top w:w="0" w:type="dxa"/>
              <w:left w:w="108" w:type="dxa"/>
              <w:bottom w:w="0" w:type="dxa"/>
              <w:right w:w="108" w:type="dxa"/>
            </w:tcMar>
            <w:vAlign w:val="bottom"/>
            <w:hideMark/>
          </w:tcPr>
          <w:p w14:paraId="66AEA15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Mar>
              <w:top w:w="0" w:type="dxa"/>
              <w:left w:w="108" w:type="dxa"/>
              <w:bottom w:w="0" w:type="dxa"/>
              <w:right w:w="108" w:type="dxa"/>
            </w:tcMar>
            <w:vAlign w:val="bottom"/>
            <w:hideMark/>
          </w:tcPr>
          <w:p w14:paraId="546F57C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Mar>
              <w:top w:w="0" w:type="dxa"/>
              <w:left w:w="108" w:type="dxa"/>
              <w:bottom w:w="0" w:type="dxa"/>
              <w:right w:w="108" w:type="dxa"/>
            </w:tcMar>
            <w:vAlign w:val="bottom"/>
            <w:hideMark/>
          </w:tcPr>
          <w:p w14:paraId="4E880FD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w:t>
            </w:r>
          </w:p>
        </w:tc>
        <w:tc>
          <w:tcPr>
            <w:tcW w:w="1060" w:type="dxa"/>
            <w:tcMar>
              <w:top w:w="0" w:type="dxa"/>
              <w:left w:w="108" w:type="dxa"/>
              <w:bottom w:w="0" w:type="dxa"/>
              <w:right w:w="108" w:type="dxa"/>
            </w:tcMar>
            <w:vAlign w:val="center"/>
            <w:hideMark/>
          </w:tcPr>
          <w:p w14:paraId="54D57A8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c>
          <w:tcPr>
            <w:tcW w:w="918" w:type="dxa"/>
            <w:tcMar>
              <w:top w:w="0" w:type="dxa"/>
              <w:left w:w="108" w:type="dxa"/>
              <w:bottom w:w="0" w:type="dxa"/>
              <w:right w:w="108" w:type="dxa"/>
            </w:tcMar>
            <w:vAlign w:val="center"/>
            <w:hideMark/>
          </w:tcPr>
          <w:p w14:paraId="1CCBA1A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r>
      <w:tr w:rsidR="00AE009D" w:rsidRPr="00AE009D" w14:paraId="391F9E55" w14:textId="77777777" w:rsidTr="00AE009D">
        <w:trPr>
          <w:trHeight w:val="330"/>
        </w:trPr>
        <w:tc>
          <w:tcPr>
            <w:tcW w:w="4664" w:type="dxa"/>
            <w:gridSpan w:val="2"/>
            <w:tcMar>
              <w:top w:w="0" w:type="dxa"/>
              <w:left w:w="108" w:type="dxa"/>
              <w:bottom w:w="0" w:type="dxa"/>
              <w:right w:w="108" w:type="dxa"/>
            </w:tcMar>
            <w:vAlign w:val="center"/>
            <w:hideMark/>
          </w:tcPr>
          <w:p w14:paraId="2CD1DCF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Other comprehensive Loss</w:t>
            </w:r>
          </w:p>
        </w:tc>
        <w:tc>
          <w:tcPr>
            <w:tcW w:w="744" w:type="dxa"/>
            <w:tcMar>
              <w:top w:w="0" w:type="dxa"/>
              <w:left w:w="108" w:type="dxa"/>
              <w:bottom w:w="0" w:type="dxa"/>
              <w:right w:w="108" w:type="dxa"/>
            </w:tcMar>
            <w:vAlign w:val="bottom"/>
            <w:hideMark/>
          </w:tcPr>
          <w:p w14:paraId="0A17F1D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Mar>
              <w:top w:w="0" w:type="dxa"/>
              <w:left w:w="108" w:type="dxa"/>
              <w:bottom w:w="0" w:type="dxa"/>
              <w:right w:w="108" w:type="dxa"/>
            </w:tcMar>
            <w:vAlign w:val="bottom"/>
            <w:hideMark/>
          </w:tcPr>
          <w:p w14:paraId="53A5785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Mar>
              <w:top w:w="0" w:type="dxa"/>
              <w:left w:w="108" w:type="dxa"/>
              <w:bottom w:w="0" w:type="dxa"/>
              <w:right w:w="108" w:type="dxa"/>
            </w:tcMar>
            <w:vAlign w:val="bottom"/>
            <w:hideMark/>
          </w:tcPr>
          <w:p w14:paraId="0E071E3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Mar>
              <w:top w:w="0" w:type="dxa"/>
              <w:left w:w="108" w:type="dxa"/>
              <w:bottom w:w="0" w:type="dxa"/>
              <w:right w:w="108" w:type="dxa"/>
            </w:tcMar>
            <w:vAlign w:val="bottom"/>
            <w:hideMark/>
          </w:tcPr>
          <w:p w14:paraId="421DFD3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Mar>
              <w:top w:w="0" w:type="dxa"/>
              <w:left w:w="108" w:type="dxa"/>
              <w:bottom w:w="0" w:type="dxa"/>
              <w:right w:w="108" w:type="dxa"/>
            </w:tcMar>
            <w:vAlign w:val="center"/>
            <w:hideMark/>
          </w:tcPr>
          <w:p w14:paraId="13870DE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c>
          <w:tcPr>
            <w:tcW w:w="1060" w:type="dxa"/>
            <w:tcMar>
              <w:top w:w="0" w:type="dxa"/>
              <w:left w:w="108" w:type="dxa"/>
              <w:bottom w:w="0" w:type="dxa"/>
              <w:right w:w="108" w:type="dxa"/>
            </w:tcMar>
            <w:vAlign w:val="bottom"/>
            <w:hideMark/>
          </w:tcPr>
          <w:p w14:paraId="3F2D2D3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18" w:type="dxa"/>
            <w:tcMar>
              <w:top w:w="0" w:type="dxa"/>
              <w:left w:w="108" w:type="dxa"/>
              <w:bottom w:w="0" w:type="dxa"/>
              <w:right w:w="108" w:type="dxa"/>
            </w:tcMar>
            <w:vAlign w:val="center"/>
            <w:hideMark/>
          </w:tcPr>
          <w:p w14:paraId="432D3A3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r>
      <w:tr w:rsidR="00AE009D" w:rsidRPr="00AE009D" w14:paraId="4ECB777A" w14:textId="77777777" w:rsidTr="00AE009D">
        <w:trPr>
          <w:trHeight w:val="315"/>
        </w:trPr>
        <w:tc>
          <w:tcPr>
            <w:tcW w:w="46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0D0A05DD"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Total Comprehensive loss for the year</w:t>
            </w:r>
          </w:p>
        </w:tc>
        <w:tc>
          <w:tcPr>
            <w:tcW w:w="74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48FA0B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2516480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62D523E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5D04BF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2FDEDE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w:t>
            </w:r>
          </w:p>
        </w:tc>
        <w:tc>
          <w:tcPr>
            <w:tcW w:w="10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29DC90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c>
          <w:tcPr>
            <w:tcW w:w="91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A37191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r>
      <w:tr w:rsidR="00AE009D" w:rsidRPr="00AE009D" w14:paraId="7872051E" w14:textId="77777777" w:rsidTr="00AE009D">
        <w:trPr>
          <w:trHeight w:val="315"/>
        </w:trPr>
        <w:tc>
          <w:tcPr>
            <w:tcW w:w="4664" w:type="dxa"/>
            <w:gridSpan w:val="2"/>
            <w:tcBorders>
              <w:top w:val="nil"/>
              <w:left w:val="nil"/>
              <w:bottom w:val="nil"/>
              <w:right w:val="nil"/>
            </w:tcBorders>
            <w:tcMar>
              <w:top w:w="0" w:type="dxa"/>
              <w:left w:w="108" w:type="dxa"/>
              <w:bottom w:w="0" w:type="dxa"/>
              <w:right w:w="108" w:type="dxa"/>
            </w:tcMar>
            <w:vAlign w:val="center"/>
            <w:hideMark/>
          </w:tcPr>
          <w:p w14:paraId="6EB36C8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At 30 Sept 2019</w:t>
            </w:r>
          </w:p>
        </w:tc>
        <w:tc>
          <w:tcPr>
            <w:tcW w:w="744" w:type="dxa"/>
            <w:tcBorders>
              <w:top w:val="nil"/>
              <w:left w:val="nil"/>
              <w:bottom w:val="nil"/>
              <w:right w:val="nil"/>
            </w:tcBorders>
            <w:tcMar>
              <w:top w:w="0" w:type="dxa"/>
              <w:left w:w="108" w:type="dxa"/>
              <w:bottom w:w="0" w:type="dxa"/>
              <w:right w:w="108" w:type="dxa"/>
            </w:tcMar>
            <w:vAlign w:val="center"/>
            <w:hideMark/>
          </w:tcPr>
          <w:p w14:paraId="7457050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1,602</w:t>
            </w:r>
          </w:p>
        </w:tc>
        <w:tc>
          <w:tcPr>
            <w:tcW w:w="845" w:type="dxa"/>
            <w:gridSpan w:val="2"/>
            <w:tcBorders>
              <w:top w:val="nil"/>
              <w:left w:val="nil"/>
              <w:bottom w:val="nil"/>
              <w:right w:val="nil"/>
            </w:tcBorders>
            <w:tcMar>
              <w:top w:w="0" w:type="dxa"/>
              <w:left w:w="108" w:type="dxa"/>
              <w:bottom w:w="0" w:type="dxa"/>
              <w:right w:w="108" w:type="dxa"/>
            </w:tcMar>
            <w:vAlign w:val="center"/>
            <w:hideMark/>
          </w:tcPr>
          <w:p w14:paraId="4969C2B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2,580</w:t>
            </w:r>
          </w:p>
        </w:tc>
        <w:tc>
          <w:tcPr>
            <w:tcW w:w="964" w:type="dxa"/>
            <w:gridSpan w:val="2"/>
            <w:tcBorders>
              <w:top w:val="nil"/>
              <w:left w:val="nil"/>
              <w:bottom w:val="nil"/>
              <w:right w:val="nil"/>
            </w:tcBorders>
            <w:tcMar>
              <w:top w:w="0" w:type="dxa"/>
              <w:left w:w="108" w:type="dxa"/>
              <w:bottom w:w="0" w:type="dxa"/>
              <w:right w:w="108" w:type="dxa"/>
            </w:tcMar>
            <w:vAlign w:val="center"/>
            <w:hideMark/>
          </w:tcPr>
          <w:p w14:paraId="79602EE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90</w:t>
            </w:r>
          </w:p>
        </w:tc>
        <w:tc>
          <w:tcPr>
            <w:tcW w:w="945" w:type="dxa"/>
            <w:tcBorders>
              <w:top w:val="nil"/>
              <w:left w:val="nil"/>
              <w:bottom w:val="nil"/>
              <w:right w:val="nil"/>
            </w:tcBorders>
            <w:tcMar>
              <w:top w:w="0" w:type="dxa"/>
              <w:left w:w="108" w:type="dxa"/>
              <w:bottom w:w="0" w:type="dxa"/>
              <w:right w:w="108" w:type="dxa"/>
            </w:tcMar>
            <w:vAlign w:val="center"/>
            <w:hideMark/>
          </w:tcPr>
          <w:p w14:paraId="79F49C9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(61)</w:t>
            </w:r>
          </w:p>
        </w:tc>
        <w:tc>
          <w:tcPr>
            <w:tcW w:w="1032" w:type="dxa"/>
            <w:tcBorders>
              <w:top w:val="nil"/>
              <w:left w:val="nil"/>
              <w:bottom w:val="nil"/>
              <w:right w:val="nil"/>
            </w:tcBorders>
            <w:tcMar>
              <w:top w:w="0" w:type="dxa"/>
              <w:left w:w="108" w:type="dxa"/>
              <w:bottom w:w="0" w:type="dxa"/>
              <w:right w:w="108" w:type="dxa"/>
            </w:tcMar>
            <w:vAlign w:val="center"/>
            <w:hideMark/>
          </w:tcPr>
          <w:p w14:paraId="38279E0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41</w:t>
            </w:r>
          </w:p>
        </w:tc>
        <w:tc>
          <w:tcPr>
            <w:tcW w:w="1060" w:type="dxa"/>
            <w:tcBorders>
              <w:top w:val="nil"/>
              <w:left w:val="nil"/>
              <w:bottom w:val="nil"/>
              <w:right w:val="nil"/>
            </w:tcBorders>
            <w:tcMar>
              <w:top w:w="0" w:type="dxa"/>
              <w:left w:w="108" w:type="dxa"/>
              <w:bottom w:w="0" w:type="dxa"/>
              <w:right w:w="108" w:type="dxa"/>
            </w:tcMar>
            <w:vAlign w:val="center"/>
            <w:hideMark/>
          </w:tcPr>
          <w:p w14:paraId="62E6384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(4,002)</w:t>
            </w:r>
          </w:p>
        </w:tc>
        <w:tc>
          <w:tcPr>
            <w:tcW w:w="918" w:type="dxa"/>
            <w:tcBorders>
              <w:top w:val="nil"/>
              <w:left w:val="nil"/>
              <w:bottom w:val="nil"/>
              <w:right w:val="nil"/>
            </w:tcBorders>
            <w:tcMar>
              <w:top w:w="0" w:type="dxa"/>
              <w:left w:w="108" w:type="dxa"/>
              <w:bottom w:w="0" w:type="dxa"/>
              <w:right w:w="108" w:type="dxa"/>
            </w:tcMar>
            <w:vAlign w:val="center"/>
            <w:hideMark/>
          </w:tcPr>
          <w:p w14:paraId="350ABFE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208</w:t>
            </w:r>
          </w:p>
        </w:tc>
      </w:tr>
      <w:tr w:rsidR="00AE009D" w:rsidRPr="00AE009D" w14:paraId="6DD8E27C" w14:textId="77777777" w:rsidTr="00AE009D">
        <w:trPr>
          <w:trHeight w:val="315"/>
        </w:trPr>
        <w:tc>
          <w:tcPr>
            <w:tcW w:w="4664" w:type="dxa"/>
            <w:gridSpan w:val="2"/>
            <w:tcMar>
              <w:top w:w="0" w:type="dxa"/>
              <w:left w:w="108" w:type="dxa"/>
              <w:bottom w:w="0" w:type="dxa"/>
              <w:right w:w="108" w:type="dxa"/>
            </w:tcMar>
            <w:vAlign w:val="bottom"/>
            <w:hideMark/>
          </w:tcPr>
          <w:p w14:paraId="493B532C"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744" w:type="dxa"/>
            <w:tcMar>
              <w:top w:w="0" w:type="dxa"/>
              <w:left w:w="108" w:type="dxa"/>
              <w:bottom w:w="0" w:type="dxa"/>
              <w:right w:w="108" w:type="dxa"/>
            </w:tcMar>
            <w:vAlign w:val="bottom"/>
            <w:hideMark/>
          </w:tcPr>
          <w:p w14:paraId="03F2A1D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845" w:type="dxa"/>
            <w:gridSpan w:val="2"/>
            <w:tcMar>
              <w:top w:w="0" w:type="dxa"/>
              <w:left w:w="108" w:type="dxa"/>
              <w:bottom w:w="0" w:type="dxa"/>
              <w:right w:w="108" w:type="dxa"/>
            </w:tcMar>
            <w:vAlign w:val="bottom"/>
            <w:hideMark/>
          </w:tcPr>
          <w:p w14:paraId="0E3698C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64" w:type="dxa"/>
            <w:gridSpan w:val="2"/>
            <w:tcMar>
              <w:top w:w="0" w:type="dxa"/>
              <w:left w:w="108" w:type="dxa"/>
              <w:bottom w:w="0" w:type="dxa"/>
              <w:right w:w="108" w:type="dxa"/>
            </w:tcMar>
            <w:vAlign w:val="bottom"/>
            <w:hideMark/>
          </w:tcPr>
          <w:p w14:paraId="5F90F46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45" w:type="dxa"/>
            <w:tcMar>
              <w:top w:w="0" w:type="dxa"/>
              <w:left w:w="108" w:type="dxa"/>
              <w:bottom w:w="0" w:type="dxa"/>
              <w:right w:w="108" w:type="dxa"/>
            </w:tcMar>
            <w:vAlign w:val="bottom"/>
            <w:hideMark/>
          </w:tcPr>
          <w:p w14:paraId="56FDA80D"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32" w:type="dxa"/>
            <w:tcMar>
              <w:top w:w="0" w:type="dxa"/>
              <w:left w:w="108" w:type="dxa"/>
              <w:bottom w:w="0" w:type="dxa"/>
              <w:right w:w="108" w:type="dxa"/>
            </w:tcMar>
            <w:vAlign w:val="bottom"/>
            <w:hideMark/>
          </w:tcPr>
          <w:p w14:paraId="5C24EC3D"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060" w:type="dxa"/>
            <w:tcMar>
              <w:top w:w="0" w:type="dxa"/>
              <w:left w:w="108" w:type="dxa"/>
              <w:bottom w:w="0" w:type="dxa"/>
              <w:right w:w="108" w:type="dxa"/>
            </w:tcMar>
            <w:vAlign w:val="bottom"/>
            <w:hideMark/>
          </w:tcPr>
          <w:p w14:paraId="0F87C11F"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918" w:type="dxa"/>
            <w:tcMar>
              <w:top w:w="0" w:type="dxa"/>
              <w:left w:w="108" w:type="dxa"/>
              <w:bottom w:w="0" w:type="dxa"/>
              <w:right w:w="108" w:type="dxa"/>
            </w:tcMar>
            <w:vAlign w:val="bottom"/>
            <w:hideMark/>
          </w:tcPr>
          <w:p w14:paraId="6608776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A950F3A" w14:textId="77777777" w:rsidTr="00AE009D">
        <w:trPr>
          <w:trHeight w:val="315"/>
        </w:trPr>
        <w:tc>
          <w:tcPr>
            <w:tcW w:w="4664" w:type="dxa"/>
            <w:gridSpan w:val="2"/>
            <w:tcBorders>
              <w:top w:val="nil"/>
              <w:left w:val="nil"/>
              <w:bottom w:val="single" w:sz="8" w:space="0" w:color="auto"/>
              <w:right w:val="nil"/>
            </w:tcBorders>
            <w:tcMar>
              <w:top w:w="0" w:type="dxa"/>
              <w:left w:w="108" w:type="dxa"/>
              <w:bottom w:w="0" w:type="dxa"/>
              <w:right w:w="108" w:type="dxa"/>
            </w:tcMar>
            <w:vAlign w:val="center"/>
            <w:hideMark/>
          </w:tcPr>
          <w:p w14:paraId="3475A0DD"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At 1 April 2020</w:t>
            </w:r>
          </w:p>
        </w:tc>
        <w:tc>
          <w:tcPr>
            <w:tcW w:w="744" w:type="dxa"/>
            <w:tcBorders>
              <w:top w:val="nil"/>
              <w:left w:val="nil"/>
              <w:bottom w:val="single" w:sz="8" w:space="0" w:color="auto"/>
              <w:right w:val="nil"/>
            </w:tcBorders>
            <w:tcMar>
              <w:top w:w="0" w:type="dxa"/>
              <w:left w:w="108" w:type="dxa"/>
              <w:bottom w:w="0" w:type="dxa"/>
              <w:right w:w="108" w:type="dxa"/>
            </w:tcMar>
            <w:vAlign w:val="center"/>
            <w:hideMark/>
          </w:tcPr>
          <w:p w14:paraId="1FA914D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1,602</w:t>
            </w:r>
          </w:p>
        </w:tc>
        <w:tc>
          <w:tcPr>
            <w:tcW w:w="845" w:type="dxa"/>
            <w:gridSpan w:val="2"/>
            <w:tcBorders>
              <w:top w:val="nil"/>
              <w:left w:val="nil"/>
              <w:bottom w:val="single" w:sz="8" w:space="0" w:color="auto"/>
              <w:right w:val="nil"/>
            </w:tcBorders>
            <w:tcMar>
              <w:top w:w="0" w:type="dxa"/>
              <w:left w:w="108" w:type="dxa"/>
              <w:bottom w:w="0" w:type="dxa"/>
              <w:right w:w="108" w:type="dxa"/>
            </w:tcMar>
            <w:vAlign w:val="center"/>
            <w:hideMark/>
          </w:tcPr>
          <w:p w14:paraId="3490DAF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2,580</w:t>
            </w:r>
          </w:p>
        </w:tc>
        <w:tc>
          <w:tcPr>
            <w:tcW w:w="964" w:type="dxa"/>
            <w:gridSpan w:val="2"/>
            <w:tcBorders>
              <w:top w:val="nil"/>
              <w:left w:val="nil"/>
              <w:bottom w:val="single" w:sz="8" w:space="0" w:color="auto"/>
              <w:right w:val="nil"/>
            </w:tcBorders>
            <w:tcMar>
              <w:top w:w="0" w:type="dxa"/>
              <w:left w:w="108" w:type="dxa"/>
              <w:bottom w:w="0" w:type="dxa"/>
              <w:right w:w="108" w:type="dxa"/>
            </w:tcMar>
            <w:vAlign w:val="center"/>
            <w:hideMark/>
          </w:tcPr>
          <w:p w14:paraId="342DEAD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90</w:t>
            </w:r>
          </w:p>
        </w:tc>
        <w:tc>
          <w:tcPr>
            <w:tcW w:w="945" w:type="dxa"/>
            <w:tcBorders>
              <w:top w:val="nil"/>
              <w:left w:val="nil"/>
              <w:bottom w:val="single" w:sz="8" w:space="0" w:color="auto"/>
              <w:right w:val="nil"/>
            </w:tcBorders>
            <w:tcMar>
              <w:top w:w="0" w:type="dxa"/>
              <w:left w:w="108" w:type="dxa"/>
              <w:bottom w:w="0" w:type="dxa"/>
              <w:right w:w="108" w:type="dxa"/>
            </w:tcMar>
            <w:vAlign w:val="center"/>
            <w:hideMark/>
          </w:tcPr>
          <w:p w14:paraId="6095EB4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(61)</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7270DC9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41</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6ECB4ABE"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(4,165)</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07FF5CB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87</w:t>
            </w:r>
          </w:p>
        </w:tc>
      </w:tr>
      <w:tr w:rsidR="00AE009D" w:rsidRPr="00AE009D" w14:paraId="575B4461" w14:textId="77777777" w:rsidTr="00AE009D">
        <w:trPr>
          <w:trHeight w:val="315"/>
        </w:trPr>
        <w:tc>
          <w:tcPr>
            <w:tcW w:w="4664" w:type="dxa"/>
            <w:gridSpan w:val="2"/>
            <w:tcMar>
              <w:top w:w="0" w:type="dxa"/>
              <w:left w:w="108" w:type="dxa"/>
              <w:bottom w:w="0" w:type="dxa"/>
              <w:right w:w="108" w:type="dxa"/>
            </w:tcMar>
            <w:vAlign w:val="bottom"/>
            <w:hideMark/>
          </w:tcPr>
          <w:p w14:paraId="73762518"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744" w:type="dxa"/>
            <w:tcMar>
              <w:top w:w="0" w:type="dxa"/>
              <w:left w:w="108" w:type="dxa"/>
              <w:bottom w:w="0" w:type="dxa"/>
              <w:right w:w="108" w:type="dxa"/>
            </w:tcMar>
            <w:vAlign w:val="bottom"/>
            <w:hideMark/>
          </w:tcPr>
          <w:p w14:paraId="167A01AF"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845" w:type="dxa"/>
            <w:gridSpan w:val="2"/>
            <w:tcMar>
              <w:top w:w="0" w:type="dxa"/>
              <w:left w:w="108" w:type="dxa"/>
              <w:bottom w:w="0" w:type="dxa"/>
              <w:right w:w="108" w:type="dxa"/>
            </w:tcMar>
            <w:vAlign w:val="bottom"/>
            <w:hideMark/>
          </w:tcPr>
          <w:p w14:paraId="619F42B5"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964" w:type="dxa"/>
            <w:gridSpan w:val="2"/>
            <w:tcMar>
              <w:top w:w="0" w:type="dxa"/>
              <w:left w:w="108" w:type="dxa"/>
              <w:bottom w:w="0" w:type="dxa"/>
              <w:right w:w="108" w:type="dxa"/>
            </w:tcMar>
            <w:vAlign w:val="bottom"/>
            <w:hideMark/>
          </w:tcPr>
          <w:p w14:paraId="35CEF312"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945" w:type="dxa"/>
            <w:tcMar>
              <w:top w:w="0" w:type="dxa"/>
              <w:left w:w="108" w:type="dxa"/>
              <w:bottom w:w="0" w:type="dxa"/>
              <w:right w:w="108" w:type="dxa"/>
            </w:tcMar>
            <w:vAlign w:val="bottom"/>
            <w:hideMark/>
          </w:tcPr>
          <w:p w14:paraId="5F4FC0CB"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32" w:type="dxa"/>
            <w:tcMar>
              <w:top w:w="0" w:type="dxa"/>
              <w:left w:w="108" w:type="dxa"/>
              <w:bottom w:w="0" w:type="dxa"/>
              <w:right w:w="108" w:type="dxa"/>
            </w:tcMar>
            <w:vAlign w:val="bottom"/>
            <w:hideMark/>
          </w:tcPr>
          <w:p w14:paraId="11A421FC"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060" w:type="dxa"/>
            <w:tcMar>
              <w:top w:w="0" w:type="dxa"/>
              <w:left w:w="108" w:type="dxa"/>
              <w:bottom w:w="0" w:type="dxa"/>
              <w:right w:w="108" w:type="dxa"/>
            </w:tcMar>
            <w:vAlign w:val="bottom"/>
            <w:hideMark/>
          </w:tcPr>
          <w:p w14:paraId="60B88C26"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918" w:type="dxa"/>
            <w:tcMar>
              <w:top w:w="0" w:type="dxa"/>
              <w:left w:w="108" w:type="dxa"/>
              <w:bottom w:w="0" w:type="dxa"/>
              <w:right w:w="108" w:type="dxa"/>
            </w:tcMar>
            <w:vAlign w:val="bottom"/>
            <w:hideMark/>
          </w:tcPr>
          <w:p w14:paraId="22E57236"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r>
      <w:tr w:rsidR="00AE009D" w:rsidRPr="00AE009D" w14:paraId="025C7262" w14:textId="77777777" w:rsidTr="00AE009D">
        <w:trPr>
          <w:trHeight w:val="315"/>
        </w:trPr>
        <w:tc>
          <w:tcPr>
            <w:tcW w:w="4664" w:type="dxa"/>
            <w:gridSpan w:val="2"/>
            <w:tcMar>
              <w:top w:w="0" w:type="dxa"/>
              <w:left w:w="108" w:type="dxa"/>
              <w:bottom w:w="0" w:type="dxa"/>
              <w:right w:w="108" w:type="dxa"/>
            </w:tcMar>
            <w:vAlign w:val="center"/>
            <w:hideMark/>
          </w:tcPr>
          <w:p w14:paraId="635B1102"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Profit for the six months </w:t>
            </w:r>
          </w:p>
        </w:tc>
        <w:tc>
          <w:tcPr>
            <w:tcW w:w="744" w:type="dxa"/>
            <w:tcMar>
              <w:top w:w="0" w:type="dxa"/>
              <w:left w:w="108" w:type="dxa"/>
              <w:bottom w:w="0" w:type="dxa"/>
              <w:right w:w="108" w:type="dxa"/>
            </w:tcMar>
            <w:vAlign w:val="bottom"/>
            <w:hideMark/>
          </w:tcPr>
          <w:p w14:paraId="37A8566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Mar>
              <w:top w:w="0" w:type="dxa"/>
              <w:left w:w="108" w:type="dxa"/>
              <w:bottom w:w="0" w:type="dxa"/>
              <w:right w:w="108" w:type="dxa"/>
            </w:tcMar>
            <w:vAlign w:val="bottom"/>
            <w:hideMark/>
          </w:tcPr>
          <w:p w14:paraId="5007EE6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Mar>
              <w:top w:w="0" w:type="dxa"/>
              <w:left w:w="108" w:type="dxa"/>
              <w:bottom w:w="0" w:type="dxa"/>
              <w:right w:w="108" w:type="dxa"/>
            </w:tcMar>
            <w:vAlign w:val="bottom"/>
            <w:hideMark/>
          </w:tcPr>
          <w:p w14:paraId="5B52EE9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Mar>
              <w:top w:w="0" w:type="dxa"/>
              <w:left w:w="108" w:type="dxa"/>
              <w:bottom w:w="0" w:type="dxa"/>
              <w:right w:w="108" w:type="dxa"/>
            </w:tcMar>
            <w:vAlign w:val="bottom"/>
            <w:hideMark/>
          </w:tcPr>
          <w:p w14:paraId="17970D2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Mar>
              <w:top w:w="0" w:type="dxa"/>
              <w:left w:w="108" w:type="dxa"/>
              <w:bottom w:w="0" w:type="dxa"/>
              <w:right w:w="108" w:type="dxa"/>
            </w:tcMar>
            <w:vAlign w:val="bottom"/>
            <w:hideMark/>
          </w:tcPr>
          <w:p w14:paraId="18DFD71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w:t>
            </w:r>
          </w:p>
        </w:tc>
        <w:tc>
          <w:tcPr>
            <w:tcW w:w="1060" w:type="dxa"/>
            <w:tcMar>
              <w:top w:w="0" w:type="dxa"/>
              <w:left w:w="108" w:type="dxa"/>
              <w:bottom w:w="0" w:type="dxa"/>
              <w:right w:w="108" w:type="dxa"/>
            </w:tcMar>
            <w:vAlign w:val="center"/>
            <w:hideMark/>
          </w:tcPr>
          <w:p w14:paraId="5E4BBCB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918" w:type="dxa"/>
            <w:tcMar>
              <w:top w:w="0" w:type="dxa"/>
              <w:left w:w="108" w:type="dxa"/>
              <w:bottom w:w="0" w:type="dxa"/>
              <w:right w:w="108" w:type="dxa"/>
            </w:tcMar>
            <w:vAlign w:val="center"/>
            <w:hideMark/>
          </w:tcPr>
          <w:p w14:paraId="1A92874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r>
      <w:tr w:rsidR="00AE009D" w:rsidRPr="00AE009D" w14:paraId="30C57200" w14:textId="77777777" w:rsidTr="00AE009D">
        <w:trPr>
          <w:trHeight w:val="330"/>
        </w:trPr>
        <w:tc>
          <w:tcPr>
            <w:tcW w:w="4664" w:type="dxa"/>
            <w:gridSpan w:val="2"/>
            <w:tcMar>
              <w:top w:w="0" w:type="dxa"/>
              <w:left w:w="108" w:type="dxa"/>
              <w:bottom w:w="0" w:type="dxa"/>
              <w:right w:w="108" w:type="dxa"/>
            </w:tcMar>
            <w:vAlign w:val="center"/>
            <w:hideMark/>
          </w:tcPr>
          <w:p w14:paraId="2F9CC6EF"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Other comprehensive Income</w:t>
            </w:r>
          </w:p>
        </w:tc>
        <w:tc>
          <w:tcPr>
            <w:tcW w:w="744" w:type="dxa"/>
            <w:tcMar>
              <w:top w:w="0" w:type="dxa"/>
              <w:left w:w="108" w:type="dxa"/>
              <w:bottom w:w="0" w:type="dxa"/>
              <w:right w:w="108" w:type="dxa"/>
            </w:tcMar>
            <w:vAlign w:val="bottom"/>
            <w:hideMark/>
          </w:tcPr>
          <w:p w14:paraId="2C88948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Mar>
              <w:top w:w="0" w:type="dxa"/>
              <w:left w:w="108" w:type="dxa"/>
              <w:bottom w:w="0" w:type="dxa"/>
              <w:right w:w="108" w:type="dxa"/>
            </w:tcMar>
            <w:vAlign w:val="bottom"/>
            <w:hideMark/>
          </w:tcPr>
          <w:p w14:paraId="0EB7818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Mar>
              <w:top w:w="0" w:type="dxa"/>
              <w:left w:w="108" w:type="dxa"/>
              <w:bottom w:w="0" w:type="dxa"/>
              <w:right w:w="108" w:type="dxa"/>
            </w:tcMar>
            <w:vAlign w:val="bottom"/>
            <w:hideMark/>
          </w:tcPr>
          <w:p w14:paraId="30F1A4A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Mar>
              <w:top w:w="0" w:type="dxa"/>
              <w:left w:w="108" w:type="dxa"/>
              <w:bottom w:w="0" w:type="dxa"/>
              <w:right w:w="108" w:type="dxa"/>
            </w:tcMar>
            <w:vAlign w:val="bottom"/>
            <w:hideMark/>
          </w:tcPr>
          <w:p w14:paraId="4146C83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Mar>
              <w:top w:w="0" w:type="dxa"/>
              <w:left w:w="108" w:type="dxa"/>
              <w:bottom w:w="0" w:type="dxa"/>
              <w:right w:w="108" w:type="dxa"/>
            </w:tcMar>
            <w:vAlign w:val="center"/>
            <w:hideMark/>
          </w:tcPr>
          <w:p w14:paraId="537B407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c>
          <w:tcPr>
            <w:tcW w:w="1060" w:type="dxa"/>
            <w:tcMar>
              <w:top w:w="0" w:type="dxa"/>
              <w:left w:w="108" w:type="dxa"/>
              <w:bottom w:w="0" w:type="dxa"/>
              <w:right w:w="108" w:type="dxa"/>
            </w:tcMar>
            <w:vAlign w:val="bottom"/>
            <w:hideMark/>
          </w:tcPr>
          <w:p w14:paraId="3A6408D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918" w:type="dxa"/>
            <w:tcMar>
              <w:top w:w="0" w:type="dxa"/>
              <w:left w:w="108" w:type="dxa"/>
              <w:bottom w:w="0" w:type="dxa"/>
              <w:right w:w="108" w:type="dxa"/>
            </w:tcMar>
            <w:vAlign w:val="center"/>
            <w:hideMark/>
          </w:tcPr>
          <w:p w14:paraId="2AB304A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r>
      <w:tr w:rsidR="00AE009D" w:rsidRPr="00AE009D" w14:paraId="0E1B79E5" w14:textId="77777777" w:rsidTr="00AE009D">
        <w:trPr>
          <w:trHeight w:val="315"/>
        </w:trPr>
        <w:tc>
          <w:tcPr>
            <w:tcW w:w="46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21B337DA"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Total Comprehensive profit for the 6 months</w:t>
            </w:r>
          </w:p>
        </w:tc>
        <w:tc>
          <w:tcPr>
            <w:tcW w:w="74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372757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845"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09115D2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64"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7A30666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94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DD6770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c>
          <w:tcPr>
            <w:tcW w:w="103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7A23FE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c>
          <w:tcPr>
            <w:tcW w:w="10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67A8FB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91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66E8DAB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(97)</w:t>
            </w:r>
          </w:p>
        </w:tc>
      </w:tr>
      <w:tr w:rsidR="00AE009D" w:rsidRPr="00AE009D" w14:paraId="7D068AB2" w14:textId="77777777" w:rsidTr="00AE009D">
        <w:trPr>
          <w:trHeight w:val="315"/>
        </w:trPr>
        <w:tc>
          <w:tcPr>
            <w:tcW w:w="4664" w:type="dxa"/>
            <w:gridSpan w:val="2"/>
            <w:tcBorders>
              <w:top w:val="nil"/>
              <w:left w:val="nil"/>
              <w:bottom w:val="single" w:sz="8" w:space="0" w:color="auto"/>
              <w:right w:val="nil"/>
            </w:tcBorders>
            <w:tcMar>
              <w:top w:w="0" w:type="dxa"/>
              <w:left w:w="108" w:type="dxa"/>
              <w:bottom w:w="0" w:type="dxa"/>
              <w:right w:w="108" w:type="dxa"/>
            </w:tcMar>
            <w:vAlign w:val="center"/>
            <w:hideMark/>
          </w:tcPr>
          <w:p w14:paraId="4F2010BF"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At 30 September 2020</w:t>
            </w:r>
          </w:p>
        </w:tc>
        <w:tc>
          <w:tcPr>
            <w:tcW w:w="744" w:type="dxa"/>
            <w:tcBorders>
              <w:top w:val="nil"/>
              <w:left w:val="nil"/>
              <w:bottom w:val="single" w:sz="8" w:space="0" w:color="auto"/>
              <w:right w:val="nil"/>
            </w:tcBorders>
            <w:tcMar>
              <w:top w:w="0" w:type="dxa"/>
              <w:left w:w="108" w:type="dxa"/>
              <w:bottom w:w="0" w:type="dxa"/>
              <w:right w:w="108" w:type="dxa"/>
            </w:tcMar>
            <w:vAlign w:val="center"/>
            <w:hideMark/>
          </w:tcPr>
          <w:p w14:paraId="1C2F3EF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1,602</w:t>
            </w:r>
          </w:p>
        </w:tc>
        <w:tc>
          <w:tcPr>
            <w:tcW w:w="845" w:type="dxa"/>
            <w:gridSpan w:val="2"/>
            <w:tcBorders>
              <w:top w:val="nil"/>
              <w:left w:val="nil"/>
              <w:bottom w:val="single" w:sz="8" w:space="0" w:color="auto"/>
              <w:right w:val="nil"/>
            </w:tcBorders>
            <w:tcMar>
              <w:top w:w="0" w:type="dxa"/>
              <w:left w:w="108" w:type="dxa"/>
              <w:bottom w:w="0" w:type="dxa"/>
              <w:right w:w="108" w:type="dxa"/>
            </w:tcMar>
            <w:vAlign w:val="center"/>
            <w:hideMark/>
          </w:tcPr>
          <w:p w14:paraId="5B8F397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2,580</w:t>
            </w:r>
          </w:p>
        </w:tc>
        <w:tc>
          <w:tcPr>
            <w:tcW w:w="964" w:type="dxa"/>
            <w:gridSpan w:val="2"/>
            <w:tcBorders>
              <w:top w:val="nil"/>
              <w:left w:val="nil"/>
              <w:bottom w:val="single" w:sz="8" w:space="0" w:color="auto"/>
              <w:right w:val="nil"/>
            </w:tcBorders>
            <w:tcMar>
              <w:top w:w="0" w:type="dxa"/>
              <w:left w:w="108" w:type="dxa"/>
              <w:bottom w:w="0" w:type="dxa"/>
              <w:right w:w="108" w:type="dxa"/>
            </w:tcMar>
            <w:vAlign w:val="center"/>
            <w:hideMark/>
          </w:tcPr>
          <w:p w14:paraId="209C326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90</w:t>
            </w:r>
          </w:p>
        </w:tc>
        <w:tc>
          <w:tcPr>
            <w:tcW w:w="945" w:type="dxa"/>
            <w:tcBorders>
              <w:top w:val="nil"/>
              <w:left w:val="nil"/>
              <w:bottom w:val="single" w:sz="8" w:space="0" w:color="auto"/>
              <w:right w:val="nil"/>
            </w:tcBorders>
            <w:tcMar>
              <w:top w:w="0" w:type="dxa"/>
              <w:left w:w="108" w:type="dxa"/>
              <w:bottom w:w="0" w:type="dxa"/>
              <w:right w:w="108" w:type="dxa"/>
            </w:tcMar>
            <w:vAlign w:val="center"/>
            <w:hideMark/>
          </w:tcPr>
          <w:p w14:paraId="23460DF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(61)</w:t>
            </w:r>
          </w:p>
        </w:tc>
        <w:tc>
          <w:tcPr>
            <w:tcW w:w="1032" w:type="dxa"/>
            <w:tcBorders>
              <w:top w:val="nil"/>
              <w:left w:val="nil"/>
              <w:bottom w:val="single" w:sz="8" w:space="0" w:color="auto"/>
              <w:right w:val="nil"/>
            </w:tcBorders>
            <w:tcMar>
              <w:top w:w="0" w:type="dxa"/>
              <w:left w:w="108" w:type="dxa"/>
              <w:bottom w:w="0" w:type="dxa"/>
              <w:right w:w="108" w:type="dxa"/>
            </w:tcMar>
            <w:vAlign w:val="center"/>
            <w:hideMark/>
          </w:tcPr>
          <w:p w14:paraId="51922B7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43</w:t>
            </w:r>
          </w:p>
        </w:tc>
        <w:tc>
          <w:tcPr>
            <w:tcW w:w="1060" w:type="dxa"/>
            <w:tcBorders>
              <w:top w:val="nil"/>
              <w:left w:val="nil"/>
              <w:bottom w:val="single" w:sz="8" w:space="0" w:color="auto"/>
              <w:right w:val="nil"/>
            </w:tcBorders>
            <w:tcMar>
              <w:top w:w="0" w:type="dxa"/>
              <w:left w:w="108" w:type="dxa"/>
              <w:bottom w:w="0" w:type="dxa"/>
              <w:right w:w="108" w:type="dxa"/>
            </w:tcMar>
            <w:vAlign w:val="center"/>
            <w:hideMark/>
          </w:tcPr>
          <w:p w14:paraId="6F9B898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(4,264)</w:t>
            </w:r>
          </w:p>
        </w:tc>
        <w:tc>
          <w:tcPr>
            <w:tcW w:w="918" w:type="dxa"/>
            <w:tcBorders>
              <w:top w:val="nil"/>
              <w:left w:val="nil"/>
              <w:bottom w:val="single" w:sz="8" w:space="0" w:color="auto"/>
              <w:right w:val="nil"/>
            </w:tcBorders>
            <w:tcMar>
              <w:top w:w="0" w:type="dxa"/>
              <w:left w:w="108" w:type="dxa"/>
              <w:bottom w:w="0" w:type="dxa"/>
              <w:right w:w="108" w:type="dxa"/>
            </w:tcMar>
            <w:vAlign w:val="center"/>
            <w:hideMark/>
          </w:tcPr>
          <w:p w14:paraId="3CF779C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w:t>
            </w:r>
          </w:p>
        </w:tc>
      </w:tr>
      <w:tr w:rsidR="00AE009D" w:rsidRPr="00AE009D" w14:paraId="6758F371"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7F03C798"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Consolidated balance sheet</w:t>
            </w:r>
          </w:p>
        </w:tc>
        <w:tc>
          <w:tcPr>
            <w:tcW w:w="1607" w:type="dxa"/>
            <w:gridSpan w:val="3"/>
            <w:tcMar>
              <w:top w:w="0" w:type="dxa"/>
              <w:left w:w="108" w:type="dxa"/>
              <w:bottom w:w="0" w:type="dxa"/>
              <w:right w:w="108" w:type="dxa"/>
            </w:tcMar>
            <w:vAlign w:val="bottom"/>
            <w:hideMark/>
          </w:tcPr>
          <w:p w14:paraId="4F0D1904"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hideMark/>
          </w:tcPr>
          <w:p w14:paraId="44857F9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07D05E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35930F1"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5A80258B"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As at 30 September 2020</w:t>
            </w:r>
          </w:p>
        </w:tc>
        <w:tc>
          <w:tcPr>
            <w:tcW w:w="1607" w:type="dxa"/>
            <w:gridSpan w:val="3"/>
            <w:tcMar>
              <w:top w:w="0" w:type="dxa"/>
              <w:left w:w="108" w:type="dxa"/>
              <w:bottom w:w="0" w:type="dxa"/>
              <w:right w:w="108" w:type="dxa"/>
            </w:tcMar>
            <w:vAlign w:val="bottom"/>
            <w:hideMark/>
          </w:tcPr>
          <w:p w14:paraId="012D2A21"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hideMark/>
          </w:tcPr>
          <w:p w14:paraId="3CB5E54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292A35A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6214929" w14:textId="77777777" w:rsidTr="00AE009D">
        <w:trPr>
          <w:gridAfter w:val="3"/>
          <w:wAfter w:w="3638" w:type="dxa"/>
          <w:trHeight w:val="598"/>
        </w:trPr>
        <w:tc>
          <w:tcPr>
            <w:tcW w:w="4179" w:type="dxa"/>
            <w:tcMar>
              <w:top w:w="0" w:type="dxa"/>
              <w:left w:w="108" w:type="dxa"/>
              <w:bottom w:w="0" w:type="dxa"/>
              <w:right w:w="108" w:type="dxa"/>
            </w:tcMar>
            <w:vAlign w:val="bottom"/>
            <w:hideMark/>
          </w:tcPr>
          <w:p w14:paraId="1FB76F42"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5B340B6B"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hideMark/>
          </w:tcPr>
          <w:p w14:paraId="76A6FCE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7F4145D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48928D9" w14:textId="77777777" w:rsidTr="00AE009D">
        <w:trPr>
          <w:gridAfter w:val="3"/>
          <w:wAfter w:w="3638" w:type="dxa"/>
          <w:trHeight w:val="70"/>
        </w:trPr>
        <w:tc>
          <w:tcPr>
            <w:tcW w:w="4179" w:type="dxa"/>
            <w:tcMar>
              <w:top w:w="0" w:type="dxa"/>
              <w:left w:w="108" w:type="dxa"/>
              <w:bottom w:w="0" w:type="dxa"/>
              <w:right w:w="108" w:type="dxa"/>
            </w:tcMar>
            <w:vAlign w:val="bottom"/>
            <w:hideMark/>
          </w:tcPr>
          <w:p w14:paraId="46006DB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197D7AFE" w14:textId="77777777" w:rsidR="00AE009D" w:rsidRPr="00AE009D" w:rsidRDefault="00AE009D" w:rsidP="00AE009D">
            <w:pPr>
              <w:ind w:right="162"/>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  30 Sep 2020</w:t>
            </w:r>
          </w:p>
        </w:tc>
        <w:tc>
          <w:tcPr>
            <w:tcW w:w="1306" w:type="dxa"/>
            <w:gridSpan w:val="2"/>
            <w:tcMar>
              <w:top w:w="0" w:type="dxa"/>
              <w:left w:w="108" w:type="dxa"/>
              <w:bottom w:w="0" w:type="dxa"/>
              <w:right w:w="108" w:type="dxa"/>
            </w:tcMar>
            <w:hideMark/>
          </w:tcPr>
          <w:p w14:paraId="7DE42BA0" w14:textId="77777777" w:rsidR="00AE009D" w:rsidRPr="00AE009D" w:rsidRDefault="00AE009D" w:rsidP="00AE009D">
            <w:pPr>
              <w:ind w:right="115"/>
              <w:jc w:val="right"/>
              <w:rPr>
                <w:rFonts w:ascii="Calibri" w:eastAsia="Times New Roman" w:hAnsi="Calibri" w:cs="Calibri"/>
                <w:lang w:eastAsia="en-GB"/>
              </w:rPr>
            </w:pPr>
            <w:r w:rsidRPr="00AE009D">
              <w:rPr>
                <w:rFonts w:ascii="Arial" w:eastAsia="Times New Roman" w:hAnsi="Arial" w:cs="Arial"/>
                <w:sz w:val="20"/>
                <w:szCs w:val="20"/>
                <w:lang w:eastAsia="en-GB"/>
              </w:rPr>
              <w:t>30 Sep 2019</w:t>
            </w:r>
          </w:p>
        </w:tc>
        <w:tc>
          <w:tcPr>
            <w:tcW w:w="1306" w:type="dxa"/>
            <w:gridSpan w:val="2"/>
            <w:tcMar>
              <w:top w:w="0" w:type="dxa"/>
              <w:left w:w="108" w:type="dxa"/>
              <w:bottom w:w="0" w:type="dxa"/>
              <w:right w:w="108" w:type="dxa"/>
            </w:tcMar>
            <w:vAlign w:val="bottom"/>
            <w:hideMark/>
          </w:tcPr>
          <w:p w14:paraId="356A92A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  31 Mar 2020</w:t>
            </w:r>
          </w:p>
        </w:tc>
      </w:tr>
      <w:tr w:rsidR="00AE009D" w:rsidRPr="00AE009D" w14:paraId="5F09F983" w14:textId="77777777" w:rsidTr="00AE009D">
        <w:trPr>
          <w:gridAfter w:val="3"/>
          <w:wAfter w:w="3638" w:type="dxa"/>
          <w:trHeight w:val="70"/>
        </w:trPr>
        <w:tc>
          <w:tcPr>
            <w:tcW w:w="4179" w:type="dxa"/>
            <w:tcMar>
              <w:top w:w="0" w:type="dxa"/>
              <w:left w:w="108" w:type="dxa"/>
              <w:bottom w:w="0" w:type="dxa"/>
              <w:right w:w="108" w:type="dxa"/>
            </w:tcMar>
            <w:vAlign w:val="bottom"/>
            <w:hideMark/>
          </w:tcPr>
          <w:p w14:paraId="2CF0E34D"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304CCBFA" w14:textId="77777777" w:rsidR="00AE009D" w:rsidRPr="00AE009D" w:rsidRDefault="00AE009D" w:rsidP="00AE009D">
            <w:pPr>
              <w:ind w:right="162"/>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Unaudited</w:t>
            </w:r>
          </w:p>
        </w:tc>
        <w:tc>
          <w:tcPr>
            <w:tcW w:w="1306" w:type="dxa"/>
            <w:gridSpan w:val="2"/>
            <w:tcMar>
              <w:top w:w="0" w:type="dxa"/>
              <w:left w:w="108" w:type="dxa"/>
              <w:bottom w:w="0" w:type="dxa"/>
              <w:right w:w="108" w:type="dxa"/>
            </w:tcMar>
            <w:hideMark/>
          </w:tcPr>
          <w:p w14:paraId="0D3A08D8" w14:textId="77777777" w:rsidR="00AE009D" w:rsidRPr="00AE009D" w:rsidRDefault="00AE009D" w:rsidP="00AE009D">
            <w:pPr>
              <w:ind w:right="115"/>
              <w:jc w:val="right"/>
              <w:rPr>
                <w:rFonts w:ascii="Calibri" w:eastAsia="Times New Roman" w:hAnsi="Calibri" w:cs="Calibri"/>
                <w:lang w:eastAsia="en-GB"/>
              </w:rPr>
            </w:pPr>
            <w:r w:rsidRPr="00AE009D">
              <w:rPr>
                <w:rFonts w:ascii="Arial" w:eastAsia="Times New Roman" w:hAnsi="Arial" w:cs="Arial"/>
                <w:sz w:val="20"/>
                <w:szCs w:val="20"/>
                <w:lang w:eastAsia="en-GB"/>
              </w:rPr>
              <w:t>Unaudited</w:t>
            </w:r>
          </w:p>
        </w:tc>
        <w:tc>
          <w:tcPr>
            <w:tcW w:w="1306" w:type="dxa"/>
            <w:gridSpan w:val="2"/>
            <w:tcMar>
              <w:top w:w="0" w:type="dxa"/>
              <w:left w:w="108" w:type="dxa"/>
              <w:bottom w:w="0" w:type="dxa"/>
              <w:right w:w="108" w:type="dxa"/>
            </w:tcMar>
            <w:vAlign w:val="bottom"/>
            <w:hideMark/>
          </w:tcPr>
          <w:p w14:paraId="067203D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Audited</w:t>
            </w:r>
          </w:p>
        </w:tc>
      </w:tr>
      <w:tr w:rsidR="00AE009D" w:rsidRPr="00AE009D" w14:paraId="11762545" w14:textId="77777777" w:rsidTr="00AE009D">
        <w:trPr>
          <w:gridAfter w:val="3"/>
          <w:wAfter w:w="3638" w:type="dxa"/>
          <w:trHeight w:val="70"/>
        </w:trPr>
        <w:tc>
          <w:tcPr>
            <w:tcW w:w="4179" w:type="dxa"/>
            <w:tcMar>
              <w:top w:w="0" w:type="dxa"/>
              <w:left w:w="108" w:type="dxa"/>
              <w:bottom w:w="0" w:type="dxa"/>
              <w:right w:w="108" w:type="dxa"/>
            </w:tcMar>
            <w:vAlign w:val="bottom"/>
            <w:hideMark/>
          </w:tcPr>
          <w:p w14:paraId="1CB60F7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0F7B8818" w14:textId="77777777" w:rsidR="00AE009D" w:rsidRPr="00AE009D" w:rsidRDefault="00AE009D" w:rsidP="00AE009D">
            <w:pPr>
              <w:ind w:right="162"/>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£'000</w:t>
            </w:r>
          </w:p>
        </w:tc>
        <w:tc>
          <w:tcPr>
            <w:tcW w:w="1306" w:type="dxa"/>
            <w:gridSpan w:val="2"/>
            <w:tcMar>
              <w:top w:w="0" w:type="dxa"/>
              <w:left w:w="108" w:type="dxa"/>
              <w:bottom w:w="0" w:type="dxa"/>
              <w:right w:w="108" w:type="dxa"/>
            </w:tcMar>
            <w:hideMark/>
          </w:tcPr>
          <w:p w14:paraId="1120C7FB" w14:textId="77777777" w:rsidR="00AE009D" w:rsidRPr="00AE009D" w:rsidRDefault="00AE009D" w:rsidP="00AE009D">
            <w:pPr>
              <w:ind w:right="115"/>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c>
          <w:tcPr>
            <w:tcW w:w="1306" w:type="dxa"/>
            <w:gridSpan w:val="2"/>
            <w:tcMar>
              <w:top w:w="0" w:type="dxa"/>
              <w:left w:w="108" w:type="dxa"/>
              <w:bottom w:w="0" w:type="dxa"/>
              <w:right w:w="108" w:type="dxa"/>
            </w:tcMar>
            <w:vAlign w:val="bottom"/>
            <w:hideMark/>
          </w:tcPr>
          <w:p w14:paraId="31A491B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r>
      <w:tr w:rsidR="00AE009D" w:rsidRPr="00AE009D" w14:paraId="4AAB2119" w14:textId="77777777" w:rsidTr="00AE009D">
        <w:trPr>
          <w:gridAfter w:val="3"/>
          <w:wAfter w:w="3638" w:type="dxa"/>
          <w:trHeight w:val="224"/>
        </w:trPr>
        <w:tc>
          <w:tcPr>
            <w:tcW w:w="4179" w:type="dxa"/>
            <w:tcMar>
              <w:top w:w="0" w:type="dxa"/>
              <w:left w:w="108" w:type="dxa"/>
              <w:bottom w:w="0" w:type="dxa"/>
              <w:right w:w="108" w:type="dxa"/>
            </w:tcMar>
            <w:vAlign w:val="bottom"/>
            <w:hideMark/>
          </w:tcPr>
          <w:p w14:paraId="7C80861B"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Assets</w:t>
            </w:r>
          </w:p>
        </w:tc>
        <w:tc>
          <w:tcPr>
            <w:tcW w:w="1607" w:type="dxa"/>
            <w:gridSpan w:val="3"/>
            <w:tcMar>
              <w:top w:w="0" w:type="dxa"/>
              <w:left w:w="108" w:type="dxa"/>
              <w:bottom w:w="0" w:type="dxa"/>
              <w:right w:w="108" w:type="dxa"/>
            </w:tcMar>
            <w:vAlign w:val="bottom"/>
            <w:hideMark/>
          </w:tcPr>
          <w:p w14:paraId="69A5A2EE" w14:textId="77777777" w:rsidR="00AE009D" w:rsidRPr="00AE009D" w:rsidRDefault="00AE009D" w:rsidP="00AE009D">
            <w:pPr>
              <w:ind w:right="162"/>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hideMark/>
          </w:tcPr>
          <w:p w14:paraId="12687EAC" w14:textId="77777777" w:rsidR="00AE009D" w:rsidRPr="00AE009D" w:rsidRDefault="00AE009D" w:rsidP="00AE009D">
            <w:pPr>
              <w:jc w:val="center"/>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4DD049C6" w14:textId="77777777" w:rsidR="00AE009D" w:rsidRPr="00AE009D" w:rsidRDefault="00AE009D" w:rsidP="00AE009D">
            <w:pPr>
              <w:jc w:val="cente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7933B3F" w14:textId="77777777" w:rsidTr="00AE009D">
        <w:trPr>
          <w:gridAfter w:val="3"/>
          <w:wAfter w:w="3638" w:type="dxa"/>
          <w:trHeight w:val="224"/>
        </w:trPr>
        <w:tc>
          <w:tcPr>
            <w:tcW w:w="4179" w:type="dxa"/>
            <w:tcMar>
              <w:top w:w="0" w:type="dxa"/>
              <w:left w:w="108" w:type="dxa"/>
              <w:bottom w:w="0" w:type="dxa"/>
              <w:right w:w="108" w:type="dxa"/>
            </w:tcMar>
            <w:vAlign w:val="bottom"/>
            <w:hideMark/>
          </w:tcPr>
          <w:p w14:paraId="222192B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Non-current Assets</w:t>
            </w:r>
          </w:p>
        </w:tc>
        <w:tc>
          <w:tcPr>
            <w:tcW w:w="1607" w:type="dxa"/>
            <w:gridSpan w:val="3"/>
            <w:tcMar>
              <w:top w:w="0" w:type="dxa"/>
              <w:left w:w="108" w:type="dxa"/>
              <w:bottom w:w="0" w:type="dxa"/>
              <w:right w:w="108" w:type="dxa"/>
            </w:tcMar>
            <w:vAlign w:val="bottom"/>
            <w:hideMark/>
          </w:tcPr>
          <w:p w14:paraId="7D05B5F7"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hideMark/>
          </w:tcPr>
          <w:p w14:paraId="5F22B5DF" w14:textId="77777777" w:rsidR="00AE009D" w:rsidRPr="00AE009D" w:rsidRDefault="00AE009D" w:rsidP="00AE009D">
            <w:pPr>
              <w:jc w:val="center"/>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1A810A4" w14:textId="77777777" w:rsidR="00AE009D" w:rsidRPr="00AE009D" w:rsidRDefault="00AE009D" w:rsidP="00AE009D">
            <w:pPr>
              <w:jc w:val="cente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7EAD0C7"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2654A74C"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Property, plant and equipment</w:t>
            </w:r>
          </w:p>
        </w:tc>
        <w:tc>
          <w:tcPr>
            <w:tcW w:w="1607" w:type="dxa"/>
            <w:gridSpan w:val="3"/>
            <w:tcMar>
              <w:top w:w="0" w:type="dxa"/>
              <w:left w:w="108" w:type="dxa"/>
              <w:bottom w:w="0" w:type="dxa"/>
              <w:right w:w="108" w:type="dxa"/>
            </w:tcMar>
            <w:vAlign w:val="bottom"/>
            <w:hideMark/>
          </w:tcPr>
          <w:p w14:paraId="18A2C60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13 </w:t>
            </w:r>
          </w:p>
        </w:tc>
        <w:tc>
          <w:tcPr>
            <w:tcW w:w="1306" w:type="dxa"/>
            <w:gridSpan w:val="2"/>
            <w:tcMar>
              <w:top w:w="0" w:type="dxa"/>
              <w:left w:w="108" w:type="dxa"/>
              <w:bottom w:w="0" w:type="dxa"/>
              <w:right w:w="108" w:type="dxa"/>
            </w:tcMar>
            <w:vAlign w:val="bottom"/>
            <w:hideMark/>
          </w:tcPr>
          <w:p w14:paraId="3794F0D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17 </w:t>
            </w:r>
          </w:p>
        </w:tc>
        <w:tc>
          <w:tcPr>
            <w:tcW w:w="1306" w:type="dxa"/>
            <w:gridSpan w:val="2"/>
            <w:tcMar>
              <w:top w:w="0" w:type="dxa"/>
              <w:left w:w="108" w:type="dxa"/>
              <w:bottom w:w="0" w:type="dxa"/>
              <w:right w:w="108" w:type="dxa"/>
            </w:tcMar>
            <w:vAlign w:val="bottom"/>
            <w:hideMark/>
          </w:tcPr>
          <w:p w14:paraId="67E71A5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13 </w:t>
            </w:r>
          </w:p>
        </w:tc>
      </w:tr>
      <w:tr w:rsidR="00AE009D" w:rsidRPr="00AE009D" w14:paraId="5D51616F" w14:textId="77777777" w:rsidTr="00AE009D">
        <w:trPr>
          <w:gridAfter w:val="3"/>
          <w:wAfter w:w="3638" w:type="dxa"/>
          <w:trHeight w:val="269"/>
        </w:trPr>
        <w:tc>
          <w:tcPr>
            <w:tcW w:w="4179" w:type="dxa"/>
            <w:tcBorders>
              <w:top w:val="nil"/>
              <w:left w:val="nil"/>
              <w:bottom w:val="single" w:sz="8" w:space="0" w:color="auto"/>
              <w:right w:val="nil"/>
            </w:tcBorders>
            <w:tcMar>
              <w:top w:w="0" w:type="dxa"/>
              <w:left w:w="108" w:type="dxa"/>
              <w:bottom w:w="0" w:type="dxa"/>
              <w:right w:w="108" w:type="dxa"/>
            </w:tcMar>
            <w:vAlign w:val="bottom"/>
            <w:hideMark/>
          </w:tcPr>
          <w:p w14:paraId="76583336"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Deferred Tax asset</w:t>
            </w:r>
          </w:p>
        </w:tc>
        <w:tc>
          <w:tcPr>
            <w:tcW w:w="1607" w:type="dxa"/>
            <w:gridSpan w:val="3"/>
            <w:tcBorders>
              <w:top w:val="nil"/>
              <w:left w:val="nil"/>
              <w:bottom w:val="single" w:sz="8" w:space="0" w:color="auto"/>
              <w:right w:val="nil"/>
            </w:tcBorders>
            <w:tcMar>
              <w:top w:w="0" w:type="dxa"/>
              <w:left w:w="108" w:type="dxa"/>
              <w:bottom w:w="0" w:type="dxa"/>
              <w:right w:w="108" w:type="dxa"/>
            </w:tcMar>
            <w:vAlign w:val="bottom"/>
            <w:hideMark/>
          </w:tcPr>
          <w:p w14:paraId="30B1A56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18 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2A23A4A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18 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3470900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18 </w:t>
            </w:r>
          </w:p>
        </w:tc>
      </w:tr>
      <w:tr w:rsidR="00AE009D" w:rsidRPr="00AE009D" w14:paraId="3BC181A1"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1613CED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Total</w:t>
            </w:r>
          </w:p>
        </w:tc>
        <w:tc>
          <w:tcPr>
            <w:tcW w:w="1607" w:type="dxa"/>
            <w:gridSpan w:val="3"/>
            <w:tcMar>
              <w:top w:w="0" w:type="dxa"/>
              <w:left w:w="108" w:type="dxa"/>
              <w:bottom w:w="0" w:type="dxa"/>
              <w:right w:w="108" w:type="dxa"/>
            </w:tcMar>
            <w:vAlign w:val="bottom"/>
            <w:hideMark/>
          </w:tcPr>
          <w:p w14:paraId="10F20C8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31 </w:t>
            </w:r>
          </w:p>
        </w:tc>
        <w:tc>
          <w:tcPr>
            <w:tcW w:w="1306" w:type="dxa"/>
            <w:gridSpan w:val="2"/>
            <w:tcMar>
              <w:top w:w="0" w:type="dxa"/>
              <w:left w:w="108" w:type="dxa"/>
              <w:bottom w:w="0" w:type="dxa"/>
              <w:right w:w="108" w:type="dxa"/>
            </w:tcMar>
            <w:vAlign w:val="bottom"/>
            <w:hideMark/>
          </w:tcPr>
          <w:p w14:paraId="30D87B4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35</w:t>
            </w:r>
          </w:p>
        </w:tc>
        <w:tc>
          <w:tcPr>
            <w:tcW w:w="1306" w:type="dxa"/>
            <w:gridSpan w:val="2"/>
            <w:tcMar>
              <w:top w:w="0" w:type="dxa"/>
              <w:left w:w="108" w:type="dxa"/>
              <w:bottom w:w="0" w:type="dxa"/>
              <w:right w:w="108" w:type="dxa"/>
            </w:tcMar>
            <w:vAlign w:val="bottom"/>
            <w:hideMark/>
          </w:tcPr>
          <w:p w14:paraId="7BFD340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31 </w:t>
            </w:r>
          </w:p>
        </w:tc>
      </w:tr>
      <w:tr w:rsidR="00AE009D" w:rsidRPr="00AE009D" w14:paraId="55236372"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0996C0D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777129F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4B648AA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6B27137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5BC7A39" w14:textId="77777777" w:rsidTr="00AE009D">
        <w:trPr>
          <w:gridAfter w:val="3"/>
          <w:wAfter w:w="3638" w:type="dxa"/>
          <w:trHeight w:val="314"/>
        </w:trPr>
        <w:tc>
          <w:tcPr>
            <w:tcW w:w="4179" w:type="dxa"/>
            <w:tcMar>
              <w:top w:w="0" w:type="dxa"/>
              <w:left w:w="108" w:type="dxa"/>
              <w:bottom w:w="0" w:type="dxa"/>
              <w:right w:w="108" w:type="dxa"/>
            </w:tcMar>
            <w:vAlign w:val="bottom"/>
            <w:hideMark/>
          </w:tcPr>
          <w:p w14:paraId="49AAFFBA"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Current assets</w:t>
            </w:r>
          </w:p>
        </w:tc>
        <w:tc>
          <w:tcPr>
            <w:tcW w:w="1607" w:type="dxa"/>
            <w:gridSpan w:val="3"/>
            <w:tcMar>
              <w:top w:w="0" w:type="dxa"/>
              <w:left w:w="108" w:type="dxa"/>
              <w:bottom w:w="0" w:type="dxa"/>
              <w:right w:w="108" w:type="dxa"/>
            </w:tcMar>
            <w:vAlign w:val="bottom"/>
            <w:hideMark/>
          </w:tcPr>
          <w:p w14:paraId="40217151"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vAlign w:val="bottom"/>
            <w:hideMark/>
          </w:tcPr>
          <w:p w14:paraId="5E04F5B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7F5407C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45EC36C"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3AA9B77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Trade and other receivables</w:t>
            </w:r>
          </w:p>
        </w:tc>
        <w:tc>
          <w:tcPr>
            <w:tcW w:w="1607" w:type="dxa"/>
            <w:gridSpan w:val="3"/>
            <w:tcMar>
              <w:top w:w="0" w:type="dxa"/>
              <w:left w:w="108" w:type="dxa"/>
              <w:bottom w:w="0" w:type="dxa"/>
              <w:right w:w="108" w:type="dxa"/>
            </w:tcMar>
            <w:vAlign w:val="bottom"/>
            <w:hideMark/>
          </w:tcPr>
          <w:p w14:paraId="1BEF68F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771 </w:t>
            </w:r>
          </w:p>
        </w:tc>
        <w:tc>
          <w:tcPr>
            <w:tcW w:w="1306" w:type="dxa"/>
            <w:gridSpan w:val="2"/>
            <w:tcMar>
              <w:top w:w="0" w:type="dxa"/>
              <w:left w:w="108" w:type="dxa"/>
              <w:bottom w:w="0" w:type="dxa"/>
              <w:right w:w="108" w:type="dxa"/>
            </w:tcMar>
            <w:vAlign w:val="bottom"/>
            <w:hideMark/>
          </w:tcPr>
          <w:p w14:paraId="4A9B337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1,677</w:t>
            </w:r>
          </w:p>
        </w:tc>
        <w:tc>
          <w:tcPr>
            <w:tcW w:w="1306" w:type="dxa"/>
            <w:gridSpan w:val="2"/>
            <w:tcMar>
              <w:top w:w="0" w:type="dxa"/>
              <w:left w:w="108" w:type="dxa"/>
              <w:bottom w:w="0" w:type="dxa"/>
              <w:right w:w="108" w:type="dxa"/>
            </w:tcMar>
            <w:vAlign w:val="bottom"/>
            <w:hideMark/>
          </w:tcPr>
          <w:p w14:paraId="3F12EEC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1,497 </w:t>
            </w:r>
          </w:p>
        </w:tc>
      </w:tr>
      <w:tr w:rsidR="00AE009D" w:rsidRPr="00AE009D" w14:paraId="32B12CBE"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527BE77E"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Cash and cash equivalents</w:t>
            </w:r>
          </w:p>
        </w:tc>
        <w:tc>
          <w:tcPr>
            <w:tcW w:w="1607" w:type="dxa"/>
            <w:gridSpan w:val="3"/>
            <w:tcMar>
              <w:top w:w="0" w:type="dxa"/>
              <w:left w:w="108" w:type="dxa"/>
              <w:bottom w:w="0" w:type="dxa"/>
              <w:right w:w="108" w:type="dxa"/>
            </w:tcMar>
            <w:vAlign w:val="bottom"/>
            <w:hideMark/>
          </w:tcPr>
          <w:p w14:paraId="766C9DC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253 </w:t>
            </w:r>
          </w:p>
        </w:tc>
        <w:tc>
          <w:tcPr>
            <w:tcW w:w="1306" w:type="dxa"/>
            <w:gridSpan w:val="2"/>
            <w:tcMar>
              <w:top w:w="0" w:type="dxa"/>
              <w:left w:w="108" w:type="dxa"/>
              <w:bottom w:w="0" w:type="dxa"/>
              <w:right w:w="108" w:type="dxa"/>
            </w:tcMar>
            <w:vAlign w:val="bottom"/>
            <w:hideMark/>
          </w:tcPr>
          <w:p w14:paraId="3FED75F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8 </w:t>
            </w:r>
          </w:p>
        </w:tc>
        <w:tc>
          <w:tcPr>
            <w:tcW w:w="1306" w:type="dxa"/>
            <w:gridSpan w:val="2"/>
            <w:tcMar>
              <w:top w:w="0" w:type="dxa"/>
              <w:left w:w="108" w:type="dxa"/>
              <w:bottom w:w="0" w:type="dxa"/>
              <w:right w:w="108" w:type="dxa"/>
            </w:tcMar>
            <w:vAlign w:val="bottom"/>
            <w:hideMark/>
          </w:tcPr>
          <w:p w14:paraId="13D3780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190 </w:t>
            </w:r>
          </w:p>
        </w:tc>
      </w:tr>
      <w:tr w:rsidR="00AE009D" w:rsidRPr="00AE009D" w14:paraId="49B7192B" w14:textId="77777777" w:rsidTr="00AE009D">
        <w:trPr>
          <w:gridAfter w:val="3"/>
          <w:wAfter w:w="3638" w:type="dxa"/>
          <w:trHeight w:val="81"/>
        </w:trPr>
        <w:tc>
          <w:tcPr>
            <w:tcW w:w="4179" w:type="dxa"/>
            <w:tcMar>
              <w:top w:w="0" w:type="dxa"/>
              <w:left w:w="108" w:type="dxa"/>
              <w:bottom w:w="0" w:type="dxa"/>
              <w:right w:w="108" w:type="dxa"/>
            </w:tcMar>
            <w:vAlign w:val="bottom"/>
            <w:hideMark/>
          </w:tcPr>
          <w:p w14:paraId="520E3A55"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06E0A965"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73CF4B59"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728A965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2599182" w14:textId="77777777" w:rsidTr="00AE009D">
        <w:trPr>
          <w:gridAfter w:val="3"/>
          <w:wAfter w:w="3638" w:type="dxa"/>
          <w:trHeight w:val="329"/>
        </w:trPr>
        <w:tc>
          <w:tcPr>
            <w:tcW w:w="417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104D670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Total</w:t>
            </w:r>
          </w:p>
        </w:tc>
        <w:tc>
          <w:tcPr>
            <w:tcW w:w="1607" w:type="dxa"/>
            <w:gridSpan w:val="3"/>
            <w:tcBorders>
              <w:top w:val="single" w:sz="8" w:space="0" w:color="auto"/>
              <w:left w:val="nil"/>
              <w:bottom w:val="single" w:sz="8" w:space="0" w:color="auto"/>
              <w:right w:val="nil"/>
            </w:tcBorders>
            <w:tcMar>
              <w:top w:w="0" w:type="dxa"/>
              <w:left w:w="108" w:type="dxa"/>
              <w:bottom w:w="0" w:type="dxa"/>
              <w:right w:w="108" w:type="dxa"/>
            </w:tcMar>
            <w:vAlign w:val="bottom"/>
            <w:hideMark/>
          </w:tcPr>
          <w:p w14:paraId="0477552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1,024 </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710ACDE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1,685 </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4689DFC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1,687 </w:t>
            </w:r>
          </w:p>
        </w:tc>
      </w:tr>
      <w:tr w:rsidR="00AE009D" w:rsidRPr="00AE009D" w14:paraId="2C4CC835" w14:textId="77777777" w:rsidTr="00AE009D">
        <w:trPr>
          <w:gridAfter w:val="3"/>
          <w:wAfter w:w="3638" w:type="dxa"/>
          <w:trHeight w:val="344"/>
        </w:trPr>
        <w:tc>
          <w:tcPr>
            <w:tcW w:w="4179" w:type="dxa"/>
            <w:tcBorders>
              <w:top w:val="nil"/>
              <w:left w:val="nil"/>
              <w:bottom w:val="single" w:sz="8" w:space="0" w:color="auto"/>
              <w:right w:val="nil"/>
            </w:tcBorders>
            <w:tcMar>
              <w:top w:w="0" w:type="dxa"/>
              <w:left w:w="108" w:type="dxa"/>
              <w:bottom w:w="0" w:type="dxa"/>
              <w:right w:w="108" w:type="dxa"/>
            </w:tcMar>
            <w:vAlign w:val="bottom"/>
            <w:hideMark/>
          </w:tcPr>
          <w:p w14:paraId="312FEA0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Total assets</w:t>
            </w:r>
          </w:p>
        </w:tc>
        <w:tc>
          <w:tcPr>
            <w:tcW w:w="1607" w:type="dxa"/>
            <w:gridSpan w:val="3"/>
            <w:tcBorders>
              <w:top w:val="nil"/>
              <w:left w:val="nil"/>
              <w:bottom w:val="single" w:sz="8" w:space="0" w:color="auto"/>
              <w:right w:val="nil"/>
            </w:tcBorders>
            <w:tcMar>
              <w:top w:w="0" w:type="dxa"/>
              <w:left w:w="108" w:type="dxa"/>
              <w:bottom w:w="0" w:type="dxa"/>
              <w:right w:w="108" w:type="dxa"/>
            </w:tcMar>
            <w:vAlign w:val="bottom"/>
            <w:hideMark/>
          </w:tcPr>
          <w:p w14:paraId="1631615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1,055 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7F70F25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1,720 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2B0CFCD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1,718 </w:t>
            </w:r>
          </w:p>
        </w:tc>
      </w:tr>
      <w:tr w:rsidR="00AE009D" w:rsidRPr="00AE009D" w14:paraId="720F4D46"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18A955A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3347843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9A813B0"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20081B6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81930C2" w14:textId="77777777" w:rsidTr="00AE009D">
        <w:trPr>
          <w:gridAfter w:val="3"/>
          <w:wAfter w:w="3638" w:type="dxa"/>
          <w:trHeight w:val="284"/>
        </w:trPr>
        <w:tc>
          <w:tcPr>
            <w:tcW w:w="4179" w:type="dxa"/>
            <w:tcMar>
              <w:top w:w="0" w:type="dxa"/>
              <w:left w:w="108" w:type="dxa"/>
              <w:bottom w:w="0" w:type="dxa"/>
              <w:right w:w="108" w:type="dxa"/>
            </w:tcMar>
            <w:vAlign w:val="bottom"/>
            <w:hideMark/>
          </w:tcPr>
          <w:p w14:paraId="50146BFE"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Liabilities</w:t>
            </w:r>
          </w:p>
        </w:tc>
        <w:tc>
          <w:tcPr>
            <w:tcW w:w="1607" w:type="dxa"/>
            <w:gridSpan w:val="3"/>
            <w:tcMar>
              <w:top w:w="0" w:type="dxa"/>
              <w:left w:w="108" w:type="dxa"/>
              <w:bottom w:w="0" w:type="dxa"/>
              <w:right w:w="108" w:type="dxa"/>
            </w:tcMar>
            <w:vAlign w:val="bottom"/>
            <w:hideMark/>
          </w:tcPr>
          <w:p w14:paraId="3A7FC8F7"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vAlign w:val="bottom"/>
            <w:hideMark/>
          </w:tcPr>
          <w:p w14:paraId="534D6F7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CBA09D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773EC11" w14:textId="77777777" w:rsidTr="00AE009D">
        <w:trPr>
          <w:gridAfter w:val="3"/>
          <w:wAfter w:w="3638" w:type="dxa"/>
          <w:trHeight w:val="284"/>
        </w:trPr>
        <w:tc>
          <w:tcPr>
            <w:tcW w:w="4179" w:type="dxa"/>
            <w:tcMar>
              <w:top w:w="0" w:type="dxa"/>
              <w:left w:w="108" w:type="dxa"/>
              <w:bottom w:w="0" w:type="dxa"/>
              <w:right w:w="108" w:type="dxa"/>
            </w:tcMar>
            <w:vAlign w:val="bottom"/>
            <w:hideMark/>
          </w:tcPr>
          <w:p w14:paraId="29707BA3"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Current Liabilities</w:t>
            </w:r>
          </w:p>
        </w:tc>
        <w:tc>
          <w:tcPr>
            <w:tcW w:w="1607" w:type="dxa"/>
            <w:gridSpan w:val="3"/>
            <w:tcMar>
              <w:top w:w="0" w:type="dxa"/>
              <w:left w:w="108" w:type="dxa"/>
              <w:bottom w:w="0" w:type="dxa"/>
              <w:right w:w="108" w:type="dxa"/>
            </w:tcMar>
            <w:vAlign w:val="bottom"/>
            <w:hideMark/>
          </w:tcPr>
          <w:p w14:paraId="5B43EB0A"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vAlign w:val="bottom"/>
            <w:hideMark/>
          </w:tcPr>
          <w:p w14:paraId="579CBBC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32DC45F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AF01EB0" w14:textId="77777777" w:rsidTr="00AE009D">
        <w:trPr>
          <w:gridAfter w:val="3"/>
          <w:wAfter w:w="3638" w:type="dxa"/>
          <w:trHeight w:val="299"/>
        </w:trPr>
        <w:tc>
          <w:tcPr>
            <w:tcW w:w="4179" w:type="dxa"/>
            <w:tcMar>
              <w:top w:w="0" w:type="dxa"/>
              <w:left w:w="108" w:type="dxa"/>
              <w:bottom w:w="0" w:type="dxa"/>
              <w:right w:w="108" w:type="dxa"/>
            </w:tcMar>
            <w:vAlign w:val="bottom"/>
            <w:hideMark/>
          </w:tcPr>
          <w:p w14:paraId="453426E3"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Trade and other payables</w:t>
            </w:r>
          </w:p>
        </w:tc>
        <w:tc>
          <w:tcPr>
            <w:tcW w:w="1607" w:type="dxa"/>
            <w:gridSpan w:val="3"/>
            <w:tcMar>
              <w:top w:w="0" w:type="dxa"/>
              <w:left w:w="108" w:type="dxa"/>
              <w:bottom w:w="0" w:type="dxa"/>
              <w:right w:w="108" w:type="dxa"/>
            </w:tcMar>
            <w:vAlign w:val="bottom"/>
            <w:hideMark/>
          </w:tcPr>
          <w:p w14:paraId="7CC49CB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(770)</w:t>
            </w:r>
          </w:p>
        </w:tc>
        <w:tc>
          <w:tcPr>
            <w:tcW w:w="1306" w:type="dxa"/>
            <w:gridSpan w:val="2"/>
            <w:tcMar>
              <w:top w:w="0" w:type="dxa"/>
              <w:left w:w="108" w:type="dxa"/>
              <w:bottom w:w="0" w:type="dxa"/>
              <w:right w:w="108" w:type="dxa"/>
            </w:tcMar>
            <w:vAlign w:val="bottom"/>
            <w:hideMark/>
          </w:tcPr>
          <w:p w14:paraId="1DBD18E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(991)</w:t>
            </w:r>
          </w:p>
        </w:tc>
        <w:tc>
          <w:tcPr>
            <w:tcW w:w="1306" w:type="dxa"/>
            <w:gridSpan w:val="2"/>
            <w:tcMar>
              <w:top w:w="0" w:type="dxa"/>
              <w:left w:w="108" w:type="dxa"/>
              <w:bottom w:w="0" w:type="dxa"/>
              <w:right w:w="108" w:type="dxa"/>
            </w:tcMar>
            <w:vAlign w:val="bottom"/>
            <w:hideMark/>
          </w:tcPr>
          <w:p w14:paraId="7A71630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(830)</w:t>
            </w:r>
          </w:p>
        </w:tc>
      </w:tr>
      <w:tr w:rsidR="00AE009D" w:rsidRPr="00AE009D" w14:paraId="6B7D7A85" w14:textId="77777777" w:rsidTr="00AE009D">
        <w:trPr>
          <w:gridAfter w:val="3"/>
          <w:wAfter w:w="3638" w:type="dxa"/>
          <w:trHeight w:val="358"/>
        </w:trPr>
        <w:tc>
          <w:tcPr>
            <w:tcW w:w="4179" w:type="dxa"/>
            <w:tcMar>
              <w:top w:w="0" w:type="dxa"/>
              <w:left w:w="108" w:type="dxa"/>
              <w:bottom w:w="0" w:type="dxa"/>
              <w:right w:w="108" w:type="dxa"/>
            </w:tcMar>
            <w:vAlign w:val="bottom"/>
            <w:hideMark/>
          </w:tcPr>
          <w:p w14:paraId="18D6338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Borrowings</w:t>
            </w:r>
          </w:p>
        </w:tc>
        <w:tc>
          <w:tcPr>
            <w:tcW w:w="1607" w:type="dxa"/>
            <w:gridSpan w:val="3"/>
            <w:tcMar>
              <w:top w:w="0" w:type="dxa"/>
              <w:left w:w="108" w:type="dxa"/>
              <w:bottom w:w="0" w:type="dxa"/>
              <w:right w:w="108" w:type="dxa"/>
            </w:tcMar>
            <w:vAlign w:val="bottom"/>
            <w:hideMark/>
          </w:tcPr>
          <w:p w14:paraId="6C84C4E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(294)</w:t>
            </w:r>
          </w:p>
        </w:tc>
        <w:tc>
          <w:tcPr>
            <w:tcW w:w="1306" w:type="dxa"/>
            <w:gridSpan w:val="2"/>
            <w:tcMar>
              <w:top w:w="0" w:type="dxa"/>
              <w:left w:w="108" w:type="dxa"/>
              <w:bottom w:w="0" w:type="dxa"/>
              <w:right w:w="108" w:type="dxa"/>
            </w:tcMar>
            <w:vAlign w:val="bottom"/>
            <w:hideMark/>
          </w:tcPr>
          <w:p w14:paraId="3C827E2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(521)</w:t>
            </w:r>
          </w:p>
        </w:tc>
        <w:tc>
          <w:tcPr>
            <w:tcW w:w="1306" w:type="dxa"/>
            <w:gridSpan w:val="2"/>
            <w:tcMar>
              <w:top w:w="0" w:type="dxa"/>
              <w:left w:w="108" w:type="dxa"/>
              <w:bottom w:w="0" w:type="dxa"/>
              <w:right w:w="108" w:type="dxa"/>
            </w:tcMar>
            <w:vAlign w:val="bottom"/>
            <w:hideMark/>
          </w:tcPr>
          <w:p w14:paraId="752D720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(801)</w:t>
            </w:r>
          </w:p>
        </w:tc>
      </w:tr>
      <w:tr w:rsidR="00AE009D" w:rsidRPr="00AE009D" w14:paraId="0D164367" w14:textId="77777777" w:rsidTr="00AE009D">
        <w:trPr>
          <w:gridAfter w:val="3"/>
          <w:wAfter w:w="3638" w:type="dxa"/>
          <w:trHeight w:val="403"/>
        </w:trPr>
        <w:tc>
          <w:tcPr>
            <w:tcW w:w="4179"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47D22ED6"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Total</w:t>
            </w:r>
          </w:p>
        </w:tc>
        <w:tc>
          <w:tcPr>
            <w:tcW w:w="1607" w:type="dxa"/>
            <w:gridSpan w:val="3"/>
            <w:tcBorders>
              <w:top w:val="single" w:sz="8" w:space="0" w:color="auto"/>
              <w:left w:val="nil"/>
              <w:bottom w:val="single" w:sz="8" w:space="0" w:color="auto"/>
              <w:right w:val="nil"/>
            </w:tcBorders>
            <w:tcMar>
              <w:top w:w="0" w:type="dxa"/>
              <w:left w:w="108" w:type="dxa"/>
              <w:bottom w:w="0" w:type="dxa"/>
              <w:right w:w="108" w:type="dxa"/>
            </w:tcMar>
            <w:vAlign w:val="bottom"/>
            <w:hideMark/>
          </w:tcPr>
          <w:p w14:paraId="655B9E9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(1,064)</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06DFA7F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(1,512)</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4D3BE03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(1,631)</w:t>
            </w:r>
          </w:p>
        </w:tc>
      </w:tr>
      <w:tr w:rsidR="00AE009D" w:rsidRPr="00AE009D" w14:paraId="664A3337" w14:textId="77777777" w:rsidTr="00AE009D">
        <w:trPr>
          <w:gridAfter w:val="3"/>
          <w:wAfter w:w="3638" w:type="dxa"/>
          <w:trHeight w:val="433"/>
        </w:trPr>
        <w:tc>
          <w:tcPr>
            <w:tcW w:w="4179" w:type="dxa"/>
            <w:tcBorders>
              <w:top w:val="nil"/>
              <w:left w:val="nil"/>
              <w:bottom w:val="single" w:sz="8" w:space="0" w:color="auto"/>
              <w:right w:val="nil"/>
            </w:tcBorders>
            <w:tcMar>
              <w:top w:w="0" w:type="dxa"/>
              <w:left w:w="108" w:type="dxa"/>
              <w:bottom w:w="0" w:type="dxa"/>
              <w:right w:w="108" w:type="dxa"/>
            </w:tcMar>
            <w:vAlign w:val="bottom"/>
            <w:hideMark/>
          </w:tcPr>
          <w:p w14:paraId="2A248596"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lastRenderedPageBreak/>
              <w:t>Net assets</w:t>
            </w:r>
          </w:p>
        </w:tc>
        <w:tc>
          <w:tcPr>
            <w:tcW w:w="1607" w:type="dxa"/>
            <w:gridSpan w:val="3"/>
            <w:tcBorders>
              <w:top w:val="nil"/>
              <w:left w:val="nil"/>
              <w:bottom w:val="single" w:sz="8" w:space="0" w:color="auto"/>
              <w:right w:val="nil"/>
            </w:tcBorders>
            <w:tcMar>
              <w:top w:w="0" w:type="dxa"/>
              <w:left w:w="108" w:type="dxa"/>
              <w:bottom w:w="0" w:type="dxa"/>
              <w:right w:w="108" w:type="dxa"/>
            </w:tcMar>
            <w:vAlign w:val="bottom"/>
            <w:hideMark/>
          </w:tcPr>
          <w:p w14:paraId="562583B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(9)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7839D99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208 </w:t>
            </w:r>
          </w:p>
        </w:tc>
        <w:tc>
          <w:tcPr>
            <w:tcW w:w="1306" w:type="dxa"/>
            <w:gridSpan w:val="2"/>
            <w:tcBorders>
              <w:top w:val="nil"/>
              <w:left w:val="nil"/>
              <w:bottom w:val="single" w:sz="8" w:space="0" w:color="auto"/>
              <w:right w:val="nil"/>
            </w:tcBorders>
            <w:tcMar>
              <w:top w:w="0" w:type="dxa"/>
              <w:left w:w="108" w:type="dxa"/>
              <w:bottom w:w="0" w:type="dxa"/>
              <w:right w:w="108" w:type="dxa"/>
            </w:tcMar>
            <w:vAlign w:val="bottom"/>
            <w:hideMark/>
          </w:tcPr>
          <w:p w14:paraId="5E5E64B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87 </w:t>
            </w:r>
          </w:p>
        </w:tc>
      </w:tr>
      <w:tr w:rsidR="00AE009D" w:rsidRPr="00AE009D" w14:paraId="69D56BBB"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479BBF6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3D0B17B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6D99383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2A0DADE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4D046EC"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3B92C59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607" w:type="dxa"/>
            <w:gridSpan w:val="3"/>
            <w:tcMar>
              <w:top w:w="0" w:type="dxa"/>
              <w:left w:w="108" w:type="dxa"/>
              <w:bottom w:w="0" w:type="dxa"/>
              <w:right w:w="108" w:type="dxa"/>
            </w:tcMar>
            <w:vAlign w:val="bottom"/>
            <w:hideMark/>
          </w:tcPr>
          <w:p w14:paraId="08B317D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9A6286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566827E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3C174B5"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753DC2CB"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Equity</w:t>
            </w:r>
          </w:p>
        </w:tc>
        <w:tc>
          <w:tcPr>
            <w:tcW w:w="1607" w:type="dxa"/>
            <w:gridSpan w:val="3"/>
            <w:tcMar>
              <w:top w:w="0" w:type="dxa"/>
              <w:left w:w="108" w:type="dxa"/>
              <w:bottom w:w="0" w:type="dxa"/>
              <w:right w:w="108" w:type="dxa"/>
            </w:tcMar>
            <w:vAlign w:val="bottom"/>
            <w:hideMark/>
          </w:tcPr>
          <w:p w14:paraId="5D66D7B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06" w:type="dxa"/>
            <w:gridSpan w:val="2"/>
            <w:tcMar>
              <w:top w:w="0" w:type="dxa"/>
              <w:left w:w="108" w:type="dxa"/>
              <w:bottom w:w="0" w:type="dxa"/>
              <w:right w:w="108" w:type="dxa"/>
            </w:tcMar>
            <w:vAlign w:val="bottom"/>
            <w:hideMark/>
          </w:tcPr>
          <w:p w14:paraId="4D6E4598"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06" w:type="dxa"/>
            <w:gridSpan w:val="2"/>
            <w:tcMar>
              <w:top w:w="0" w:type="dxa"/>
              <w:left w:w="108" w:type="dxa"/>
              <w:bottom w:w="0" w:type="dxa"/>
              <w:right w:w="108" w:type="dxa"/>
            </w:tcMar>
            <w:vAlign w:val="bottom"/>
            <w:hideMark/>
          </w:tcPr>
          <w:p w14:paraId="1A70C850"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8F72A11"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5FA7472D"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Ordinary shares</w:t>
            </w:r>
          </w:p>
        </w:tc>
        <w:tc>
          <w:tcPr>
            <w:tcW w:w="1607" w:type="dxa"/>
            <w:gridSpan w:val="3"/>
            <w:tcMar>
              <w:top w:w="0" w:type="dxa"/>
              <w:left w:w="108" w:type="dxa"/>
              <w:bottom w:w="0" w:type="dxa"/>
              <w:right w:w="108" w:type="dxa"/>
            </w:tcMar>
            <w:vAlign w:val="bottom"/>
            <w:hideMark/>
          </w:tcPr>
          <w:p w14:paraId="2F627A4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1,602</w:t>
            </w:r>
          </w:p>
        </w:tc>
        <w:tc>
          <w:tcPr>
            <w:tcW w:w="1306" w:type="dxa"/>
            <w:gridSpan w:val="2"/>
            <w:tcMar>
              <w:top w:w="0" w:type="dxa"/>
              <w:left w:w="108" w:type="dxa"/>
              <w:bottom w:w="0" w:type="dxa"/>
              <w:right w:w="108" w:type="dxa"/>
            </w:tcMar>
            <w:vAlign w:val="bottom"/>
            <w:hideMark/>
          </w:tcPr>
          <w:p w14:paraId="6FF9524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1,602</w:t>
            </w:r>
          </w:p>
        </w:tc>
        <w:tc>
          <w:tcPr>
            <w:tcW w:w="1306" w:type="dxa"/>
            <w:gridSpan w:val="2"/>
            <w:tcMar>
              <w:top w:w="0" w:type="dxa"/>
              <w:left w:w="108" w:type="dxa"/>
              <w:bottom w:w="0" w:type="dxa"/>
              <w:right w:w="108" w:type="dxa"/>
            </w:tcMar>
            <w:vAlign w:val="bottom"/>
            <w:hideMark/>
          </w:tcPr>
          <w:p w14:paraId="4AD643E3"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1,602</w:t>
            </w:r>
          </w:p>
        </w:tc>
      </w:tr>
      <w:tr w:rsidR="00AE009D" w:rsidRPr="00AE009D" w14:paraId="22766240"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5D159668"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Share premium</w:t>
            </w:r>
          </w:p>
        </w:tc>
        <w:tc>
          <w:tcPr>
            <w:tcW w:w="1607" w:type="dxa"/>
            <w:gridSpan w:val="3"/>
            <w:tcMar>
              <w:top w:w="0" w:type="dxa"/>
              <w:left w:w="108" w:type="dxa"/>
              <w:bottom w:w="0" w:type="dxa"/>
              <w:right w:w="108" w:type="dxa"/>
            </w:tcMar>
            <w:vAlign w:val="bottom"/>
            <w:hideMark/>
          </w:tcPr>
          <w:p w14:paraId="2037F18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2,580</w:t>
            </w:r>
          </w:p>
        </w:tc>
        <w:tc>
          <w:tcPr>
            <w:tcW w:w="1306" w:type="dxa"/>
            <w:gridSpan w:val="2"/>
            <w:tcMar>
              <w:top w:w="0" w:type="dxa"/>
              <w:left w:w="108" w:type="dxa"/>
              <w:bottom w:w="0" w:type="dxa"/>
              <w:right w:w="108" w:type="dxa"/>
            </w:tcMar>
            <w:vAlign w:val="bottom"/>
            <w:hideMark/>
          </w:tcPr>
          <w:p w14:paraId="1D3937B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2,580</w:t>
            </w:r>
          </w:p>
        </w:tc>
        <w:tc>
          <w:tcPr>
            <w:tcW w:w="1306" w:type="dxa"/>
            <w:gridSpan w:val="2"/>
            <w:tcMar>
              <w:top w:w="0" w:type="dxa"/>
              <w:left w:w="108" w:type="dxa"/>
              <w:bottom w:w="0" w:type="dxa"/>
              <w:right w:w="108" w:type="dxa"/>
            </w:tcMar>
            <w:vAlign w:val="bottom"/>
            <w:hideMark/>
          </w:tcPr>
          <w:p w14:paraId="371B040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2,580</w:t>
            </w:r>
          </w:p>
        </w:tc>
      </w:tr>
      <w:tr w:rsidR="00AE009D" w:rsidRPr="00AE009D" w14:paraId="31DB0AE9" w14:textId="77777777" w:rsidTr="00AE009D">
        <w:trPr>
          <w:gridAfter w:val="3"/>
          <w:wAfter w:w="3638" w:type="dxa"/>
          <w:trHeight w:val="269"/>
        </w:trPr>
        <w:tc>
          <w:tcPr>
            <w:tcW w:w="4179" w:type="dxa"/>
            <w:tcMar>
              <w:top w:w="0" w:type="dxa"/>
              <w:left w:w="108" w:type="dxa"/>
              <w:bottom w:w="0" w:type="dxa"/>
              <w:right w:w="108" w:type="dxa"/>
            </w:tcMar>
            <w:vAlign w:val="bottom"/>
            <w:hideMark/>
          </w:tcPr>
          <w:p w14:paraId="32A405B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Merger reserve</w:t>
            </w:r>
          </w:p>
        </w:tc>
        <w:tc>
          <w:tcPr>
            <w:tcW w:w="1607" w:type="dxa"/>
            <w:gridSpan w:val="3"/>
            <w:tcMar>
              <w:top w:w="0" w:type="dxa"/>
              <w:left w:w="108" w:type="dxa"/>
              <w:bottom w:w="0" w:type="dxa"/>
              <w:right w:w="108" w:type="dxa"/>
            </w:tcMar>
            <w:vAlign w:val="bottom"/>
            <w:hideMark/>
          </w:tcPr>
          <w:p w14:paraId="597B4C5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90</w:t>
            </w:r>
          </w:p>
        </w:tc>
        <w:tc>
          <w:tcPr>
            <w:tcW w:w="1306" w:type="dxa"/>
            <w:gridSpan w:val="2"/>
            <w:tcMar>
              <w:top w:w="0" w:type="dxa"/>
              <w:left w:w="108" w:type="dxa"/>
              <w:bottom w:w="0" w:type="dxa"/>
              <w:right w:w="108" w:type="dxa"/>
            </w:tcMar>
            <w:vAlign w:val="bottom"/>
            <w:hideMark/>
          </w:tcPr>
          <w:p w14:paraId="6A2C74C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90</w:t>
            </w:r>
          </w:p>
        </w:tc>
        <w:tc>
          <w:tcPr>
            <w:tcW w:w="1306" w:type="dxa"/>
            <w:gridSpan w:val="2"/>
            <w:tcMar>
              <w:top w:w="0" w:type="dxa"/>
              <w:left w:w="108" w:type="dxa"/>
              <w:bottom w:w="0" w:type="dxa"/>
              <w:right w:w="108" w:type="dxa"/>
            </w:tcMar>
            <w:vAlign w:val="bottom"/>
            <w:hideMark/>
          </w:tcPr>
          <w:p w14:paraId="4689DC73"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90</w:t>
            </w:r>
          </w:p>
        </w:tc>
      </w:tr>
      <w:tr w:rsidR="00AE009D" w:rsidRPr="00AE009D" w14:paraId="2338E4AE"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3B3E4C09"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Employee share benefit trust reserve</w:t>
            </w:r>
          </w:p>
        </w:tc>
        <w:tc>
          <w:tcPr>
            <w:tcW w:w="1607" w:type="dxa"/>
            <w:gridSpan w:val="3"/>
            <w:tcMar>
              <w:top w:w="0" w:type="dxa"/>
              <w:left w:w="108" w:type="dxa"/>
              <w:bottom w:w="0" w:type="dxa"/>
              <w:right w:w="108" w:type="dxa"/>
            </w:tcMar>
            <w:vAlign w:val="bottom"/>
            <w:hideMark/>
          </w:tcPr>
          <w:p w14:paraId="5FF7C25E"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(61)</w:t>
            </w:r>
          </w:p>
        </w:tc>
        <w:tc>
          <w:tcPr>
            <w:tcW w:w="1306" w:type="dxa"/>
            <w:gridSpan w:val="2"/>
            <w:tcMar>
              <w:top w:w="0" w:type="dxa"/>
              <w:left w:w="108" w:type="dxa"/>
              <w:bottom w:w="0" w:type="dxa"/>
              <w:right w:w="108" w:type="dxa"/>
            </w:tcMar>
            <w:vAlign w:val="bottom"/>
            <w:hideMark/>
          </w:tcPr>
          <w:p w14:paraId="3EE88CD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(61)</w:t>
            </w:r>
          </w:p>
        </w:tc>
        <w:tc>
          <w:tcPr>
            <w:tcW w:w="1306" w:type="dxa"/>
            <w:gridSpan w:val="2"/>
            <w:tcMar>
              <w:top w:w="0" w:type="dxa"/>
              <w:left w:w="108" w:type="dxa"/>
              <w:bottom w:w="0" w:type="dxa"/>
              <w:right w:w="108" w:type="dxa"/>
            </w:tcMar>
            <w:vAlign w:val="bottom"/>
            <w:hideMark/>
          </w:tcPr>
          <w:p w14:paraId="7A6F847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(61)</w:t>
            </w:r>
          </w:p>
        </w:tc>
      </w:tr>
      <w:tr w:rsidR="00AE009D" w:rsidRPr="00AE009D" w14:paraId="23F39A17" w14:textId="77777777" w:rsidTr="00AE009D">
        <w:trPr>
          <w:gridAfter w:val="3"/>
          <w:wAfter w:w="3638" w:type="dxa"/>
          <w:trHeight w:val="254"/>
        </w:trPr>
        <w:tc>
          <w:tcPr>
            <w:tcW w:w="4179" w:type="dxa"/>
            <w:tcMar>
              <w:top w:w="0" w:type="dxa"/>
              <w:left w:w="108" w:type="dxa"/>
              <w:bottom w:w="0" w:type="dxa"/>
              <w:right w:w="108" w:type="dxa"/>
            </w:tcMar>
            <w:vAlign w:val="bottom"/>
            <w:hideMark/>
          </w:tcPr>
          <w:p w14:paraId="58A9A3FA"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Currency reserve</w:t>
            </w:r>
          </w:p>
        </w:tc>
        <w:tc>
          <w:tcPr>
            <w:tcW w:w="1607" w:type="dxa"/>
            <w:gridSpan w:val="3"/>
            <w:tcMar>
              <w:top w:w="0" w:type="dxa"/>
              <w:left w:w="108" w:type="dxa"/>
              <w:bottom w:w="0" w:type="dxa"/>
              <w:right w:w="108" w:type="dxa"/>
            </w:tcMar>
            <w:vAlign w:val="bottom"/>
            <w:hideMark/>
          </w:tcPr>
          <w:p w14:paraId="7F04939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43</w:t>
            </w:r>
          </w:p>
        </w:tc>
        <w:tc>
          <w:tcPr>
            <w:tcW w:w="1306" w:type="dxa"/>
            <w:gridSpan w:val="2"/>
            <w:tcMar>
              <w:top w:w="0" w:type="dxa"/>
              <w:left w:w="108" w:type="dxa"/>
              <w:bottom w:w="0" w:type="dxa"/>
              <w:right w:w="108" w:type="dxa"/>
            </w:tcMar>
            <w:vAlign w:val="bottom"/>
            <w:hideMark/>
          </w:tcPr>
          <w:p w14:paraId="6D9E3B8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12</w:t>
            </w:r>
          </w:p>
        </w:tc>
        <w:tc>
          <w:tcPr>
            <w:tcW w:w="1306" w:type="dxa"/>
            <w:gridSpan w:val="2"/>
            <w:tcMar>
              <w:top w:w="0" w:type="dxa"/>
              <w:left w:w="108" w:type="dxa"/>
              <w:bottom w:w="0" w:type="dxa"/>
              <w:right w:w="108" w:type="dxa"/>
            </w:tcMar>
            <w:vAlign w:val="bottom"/>
            <w:hideMark/>
          </w:tcPr>
          <w:p w14:paraId="6A5D9A4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41</w:t>
            </w:r>
          </w:p>
        </w:tc>
      </w:tr>
      <w:tr w:rsidR="00AE009D" w:rsidRPr="00AE009D" w14:paraId="28496AA0" w14:textId="77777777" w:rsidTr="00AE009D">
        <w:trPr>
          <w:gridAfter w:val="3"/>
          <w:wAfter w:w="3638" w:type="dxa"/>
          <w:trHeight w:val="254"/>
        </w:trPr>
        <w:tc>
          <w:tcPr>
            <w:tcW w:w="4179" w:type="dxa"/>
            <w:tcBorders>
              <w:top w:val="nil"/>
              <w:left w:val="nil"/>
              <w:bottom w:val="single" w:sz="8" w:space="0" w:color="auto"/>
              <w:right w:val="nil"/>
            </w:tcBorders>
            <w:tcMar>
              <w:top w:w="0" w:type="dxa"/>
              <w:left w:w="108" w:type="dxa"/>
              <w:bottom w:w="0" w:type="dxa"/>
              <w:right w:w="108" w:type="dxa"/>
            </w:tcMar>
            <w:vAlign w:val="bottom"/>
            <w:hideMark/>
          </w:tcPr>
          <w:p w14:paraId="536B1C1A"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sz w:val="20"/>
                <w:szCs w:val="20"/>
                <w:lang w:eastAsia="en-GB"/>
              </w:rPr>
              <w:t>Retained earnings</w:t>
            </w:r>
          </w:p>
        </w:tc>
        <w:tc>
          <w:tcPr>
            <w:tcW w:w="1607" w:type="dxa"/>
            <w:gridSpan w:val="3"/>
            <w:tcMar>
              <w:top w:w="0" w:type="dxa"/>
              <w:left w:w="108" w:type="dxa"/>
              <w:bottom w:w="0" w:type="dxa"/>
              <w:right w:w="108" w:type="dxa"/>
            </w:tcMar>
            <w:vAlign w:val="bottom"/>
            <w:hideMark/>
          </w:tcPr>
          <w:p w14:paraId="4F21F0AE"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(4,264)</w:t>
            </w:r>
          </w:p>
        </w:tc>
        <w:tc>
          <w:tcPr>
            <w:tcW w:w="1306" w:type="dxa"/>
            <w:gridSpan w:val="2"/>
            <w:tcMar>
              <w:top w:w="0" w:type="dxa"/>
              <w:left w:w="108" w:type="dxa"/>
              <w:bottom w:w="0" w:type="dxa"/>
              <w:right w:w="108" w:type="dxa"/>
            </w:tcMar>
            <w:vAlign w:val="bottom"/>
            <w:hideMark/>
          </w:tcPr>
          <w:p w14:paraId="641B17E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(4,015)</w:t>
            </w:r>
          </w:p>
        </w:tc>
        <w:tc>
          <w:tcPr>
            <w:tcW w:w="1306" w:type="dxa"/>
            <w:gridSpan w:val="2"/>
            <w:tcMar>
              <w:top w:w="0" w:type="dxa"/>
              <w:left w:w="108" w:type="dxa"/>
              <w:bottom w:w="0" w:type="dxa"/>
              <w:right w:w="108" w:type="dxa"/>
            </w:tcMar>
            <w:vAlign w:val="bottom"/>
            <w:hideMark/>
          </w:tcPr>
          <w:p w14:paraId="7E6FF65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(4,165)</w:t>
            </w:r>
          </w:p>
        </w:tc>
      </w:tr>
      <w:tr w:rsidR="00AE009D" w:rsidRPr="00AE009D" w14:paraId="4E66F6C7" w14:textId="77777777" w:rsidTr="00AE009D">
        <w:trPr>
          <w:gridAfter w:val="3"/>
          <w:wAfter w:w="3638" w:type="dxa"/>
          <w:trHeight w:val="403"/>
        </w:trPr>
        <w:tc>
          <w:tcPr>
            <w:tcW w:w="4179" w:type="dxa"/>
            <w:tcBorders>
              <w:top w:val="nil"/>
              <w:left w:val="nil"/>
              <w:bottom w:val="single" w:sz="8" w:space="0" w:color="auto"/>
              <w:right w:val="nil"/>
            </w:tcBorders>
            <w:tcMar>
              <w:top w:w="0" w:type="dxa"/>
              <w:left w:w="108" w:type="dxa"/>
              <w:bottom w:w="0" w:type="dxa"/>
              <w:right w:w="108" w:type="dxa"/>
            </w:tcMar>
            <w:vAlign w:val="bottom"/>
            <w:hideMark/>
          </w:tcPr>
          <w:p w14:paraId="238C56DD"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sz w:val="20"/>
                <w:szCs w:val="20"/>
                <w:lang w:eastAsia="en-GB"/>
              </w:rPr>
              <w:t>Total equity</w:t>
            </w:r>
          </w:p>
        </w:tc>
        <w:tc>
          <w:tcPr>
            <w:tcW w:w="1607" w:type="dxa"/>
            <w:gridSpan w:val="3"/>
            <w:tcBorders>
              <w:top w:val="single" w:sz="8" w:space="0" w:color="auto"/>
              <w:left w:val="nil"/>
              <w:bottom w:val="single" w:sz="8" w:space="0" w:color="auto"/>
              <w:right w:val="nil"/>
            </w:tcBorders>
            <w:tcMar>
              <w:top w:w="0" w:type="dxa"/>
              <w:left w:w="108" w:type="dxa"/>
              <w:bottom w:w="0" w:type="dxa"/>
              <w:right w:w="108" w:type="dxa"/>
            </w:tcMar>
            <w:vAlign w:val="bottom"/>
            <w:hideMark/>
          </w:tcPr>
          <w:p w14:paraId="59ED34D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(9) </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7C115D7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208 </w:t>
            </w:r>
          </w:p>
        </w:tc>
        <w:tc>
          <w:tcPr>
            <w:tcW w:w="1306" w:type="dxa"/>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14:paraId="413CA3D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sz w:val="20"/>
                <w:szCs w:val="20"/>
                <w:lang w:eastAsia="en-GB"/>
              </w:rPr>
              <w:t>87 </w:t>
            </w:r>
          </w:p>
        </w:tc>
      </w:tr>
    </w:tbl>
    <w:p w14:paraId="5F16118C"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CAC1F38"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22368EBF" w14:textId="77777777" w:rsidR="00AE009D" w:rsidRPr="00AE009D" w:rsidRDefault="00AE009D" w:rsidP="00AE009D">
      <w:pPr>
        <w:ind w:left="-426"/>
        <w:rPr>
          <w:rFonts w:ascii="Calibri" w:eastAsia="Times New Roman" w:hAnsi="Calibri" w:cs="Calibri"/>
          <w:color w:val="000000"/>
          <w:lang w:eastAsia="en-GB"/>
        </w:rPr>
      </w:pPr>
      <w:r w:rsidRPr="00AE009D">
        <w:rPr>
          <w:rFonts w:ascii="Calibri" w:eastAsia="Times New Roman" w:hAnsi="Calibri" w:cs="Calibri"/>
          <w:color w:val="000000"/>
          <w:lang w:eastAsia="en-GB"/>
        </w:rPr>
        <w:t> </w:t>
      </w:r>
    </w:p>
    <w:p w14:paraId="220F0257" w14:textId="77777777" w:rsidR="00AE009D" w:rsidRPr="00AE009D" w:rsidRDefault="00AE009D" w:rsidP="00AE009D">
      <w:pPr>
        <w:ind w:left="-426"/>
        <w:rPr>
          <w:rFonts w:ascii="Calibri" w:eastAsia="Times New Roman" w:hAnsi="Calibri" w:cs="Calibri"/>
          <w:color w:val="000000"/>
          <w:lang w:eastAsia="en-GB"/>
        </w:rPr>
      </w:pPr>
      <w:r w:rsidRPr="00AE009D">
        <w:rPr>
          <w:rFonts w:ascii="Calibri" w:eastAsia="Times New Roman" w:hAnsi="Calibri" w:cs="Calibri"/>
          <w:color w:val="000000"/>
          <w:lang w:eastAsia="en-GB"/>
        </w:rPr>
        <w:t> </w:t>
      </w:r>
    </w:p>
    <w:p w14:paraId="34D98BFD"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9781" w:type="dxa"/>
        <w:tblInd w:w="-108" w:type="dxa"/>
        <w:tblCellMar>
          <w:left w:w="0" w:type="dxa"/>
          <w:right w:w="0" w:type="dxa"/>
        </w:tblCellMar>
        <w:tblLook w:val="04A0" w:firstRow="1" w:lastRow="0" w:firstColumn="1" w:lastColumn="0" w:noHBand="0" w:noVBand="1"/>
      </w:tblPr>
      <w:tblGrid>
        <w:gridCol w:w="5206"/>
        <w:gridCol w:w="1629"/>
        <w:gridCol w:w="1473"/>
        <w:gridCol w:w="1473"/>
      </w:tblGrid>
      <w:tr w:rsidR="00AE009D" w:rsidRPr="00AE009D" w14:paraId="2ADB8A7F" w14:textId="77777777" w:rsidTr="00AE009D">
        <w:trPr>
          <w:trHeight w:val="315"/>
        </w:trPr>
        <w:tc>
          <w:tcPr>
            <w:tcW w:w="4746" w:type="dxa"/>
            <w:tcMar>
              <w:top w:w="0" w:type="dxa"/>
              <w:left w:w="108" w:type="dxa"/>
              <w:bottom w:w="0" w:type="dxa"/>
              <w:right w:w="108" w:type="dxa"/>
            </w:tcMar>
            <w:vAlign w:val="center"/>
            <w:hideMark/>
          </w:tcPr>
          <w:p w14:paraId="18DC2E39"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CONSOLIDATED STATEMENT OF CASH FLOWS</w:t>
            </w:r>
          </w:p>
        </w:tc>
        <w:tc>
          <w:tcPr>
            <w:tcW w:w="1485" w:type="dxa"/>
            <w:tcMar>
              <w:top w:w="0" w:type="dxa"/>
              <w:left w:w="108" w:type="dxa"/>
              <w:bottom w:w="0" w:type="dxa"/>
              <w:right w:w="108" w:type="dxa"/>
            </w:tcMar>
            <w:vAlign w:val="center"/>
            <w:hideMark/>
          </w:tcPr>
          <w:p w14:paraId="51E5F4DB"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hideMark/>
          </w:tcPr>
          <w:p w14:paraId="7DEF5F9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6332B1CA"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71897F9" w14:textId="77777777" w:rsidTr="00AE009D">
        <w:trPr>
          <w:trHeight w:val="315"/>
        </w:trPr>
        <w:tc>
          <w:tcPr>
            <w:tcW w:w="4746" w:type="dxa"/>
            <w:tcMar>
              <w:top w:w="0" w:type="dxa"/>
              <w:left w:w="108" w:type="dxa"/>
              <w:bottom w:w="0" w:type="dxa"/>
              <w:right w:w="108" w:type="dxa"/>
            </w:tcMar>
            <w:vAlign w:val="center"/>
            <w:hideMark/>
          </w:tcPr>
          <w:p w14:paraId="435CE422"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to 30 September 2020</w:t>
            </w:r>
          </w:p>
        </w:tc>
        <w:tc>
          <w:tcPr>
            <w:tcW w:w="1485" w:type="dxa"/>
            <w:tcMar>
              <w:top w:w="0" w:type="dxa"/>
              <w:left w:w="108" w:type="dxa"/>
              <w:bottom w:w="0" w:type="dxa"/>
              <w:right w:w="108" w:type="dxa"/>
            </w:tcMar>
            <w:vAlign w:val="center"/>
            <w:hideMark/>
          </w:tcPr>
          <w:p w14:paraId="5DA8B674"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hideMark/>
          </w:tcPr>
          <w:p w14:paraId="2C6C72A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5776794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9898FFA" w14:textId="77777777" w:rsidTr="00AE009D">
        <w:trPr>
          <w:trHeight w:val="315"/>
        </w:trPr>
        <w:tc>
          <w:tcPr>
            <w:tcW w:w="4746" w:type="dxa"/>
            <w:tcMar>
              <w:top w:w="0" w:type="dxa"/>
              <w:left w:w="108" w:type="dxa"/>
              <w:bottom w:w="0" w:type="dxa"/>
              <w:right w:w="108" w:type="dxa"/>
            </w:tcMar>
            <w:vAlign w:val="bottom"/>
            <w:hideMark/>
          </w:tcPr>
          <w:p w14:paraId="058B2837"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485" w:type="dxa"/>
            <w:tcMar>
              <w:top w:w="0" w:type="dxa"/>
              <w:left w:w="108" w:type="dxa"/>
              <w:bottom w:w="0" w:type="dxa"/>
              <w:right w:w="108" w:type="dxa"/>
            </w:tcMar>
            <w:vAlign w:val="center"/>
            <w:hideMark/>
          </w:tcPr>
          <w:p w14:paraId="46928A17"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hideMark/>
          </w:tcPr>
          <w:p w14:paraId="7EC8727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6ADC1E7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45F974A" w14:textId="77777777" w:rsidTr="00AE009D">
        <w:trPr>
          <w:trHeight w:val="315"/>
        </w:trPr>
        <w:tc>
          <w:tcPr>
            <w:tcW w:w="4746" w:type="dxa"/>
            <w:tcMar>
              <w:top w:w="0" w:type="dxa"/>
              <w:left w:w="108" w:type="dxa"/>
              <w:bottom w:w="0" w:type="dxa"/>
              <w:right w:w="108" w:type="dxa"/>
            </w:tcMar>
            <w:vAlign w:val="bottom"/>
            <w:hideMark/>
          </w:tcPr>
          <w:p w14:paraId="4D652E14"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485" w:type="dxa"/>
            <w:tcMar>
              <w:top w:w="0" w:type="dxa"/>
              <w:left w:w="108" w:type="dxa"/>
              <w:bottom w:w="0" w:type="dxa"/>
              <w:right w:w="108" w:type="dxa"/>
            </w:tcMar>
            <w:vAlign w:val="center"/>
            <w:hideMark/>
          </w:tcPr>
          <w:p w14:paraId="3DA5A15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6 months to </w:t>
            </w:r>
          </w:p>
          <w:p w14:paraId="162A510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30 Sep 2020</w:t>
            </w:r>
          </w:p>
          <w:p w14:paraId="70745B8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Unaudited</w:t>
            </w:r>
          </w:p>
        </w:tc>
        <w:tc>
          <w:tcPr>
            <w:tcW w:w="1343" w:type="dxa"/>
            <w:tcMar>
              <w:top w:w="0" w:type="dxa"/>
              <w:left w:w="108" w:type="dxa"/>
              <w:bottom w:w="0" w:type="dxa"/>
              <w:right w:w="108" w:type="dxa"/>
            </w:tcMar>
            <w:vAlign w:val="center"/>
            <w:hideMark/>
          </w:tcPr>
          <w:p w14:paraId="3AE7406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6 months to </w:t>
            </w:r>
          </w:p>
          <w:p w14:paraId="549E6F7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30 Sep 2019</w:t>
            </w:r>
          </w:p>
          <w:p w14:paraId="5D27A723"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Unaudited</w:t>
            </w:r>
          </w:p>
        </w:tc>
        <w:tc>
          <w:tcPr>
            <w:tcW w:w="1343" w:type="dxa"/>
            <w:tcMar>
              <w:top w:w="0" w:type="dxa"/>
              <w:left w:w="108" w:type="dxa"/>
              <w:bottom w:w="0" w:type="dxa"/>
              <w:right w:w="108" w:type="dxa"/>
            </w:tcMar>
            <w:vAlign w:val="center"/>
            <w:hideMark/>
          </w:tcPr>
          <w:p w14:paraId="5543C14E"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Year ended </w:t>
            </w:r>
          </w:p>
          <w:p w14:paraId="235BB424"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31 Mar 2020</w:t>
            </w:r>
          </w:p>
          <w:p w14:paraId="101A84A6"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Audited</w:t>
            </w:r>
          </w:p>
        </w:tc>
      </w:tr>
      <w:tr w:rsidR="00AE009D" w:rsidRPr="00AE009D" w14:paraId="0E23A2CC" w14:textId="77777777" w:rsidTr="00AE009D">
        <w:trPr>
          <w:trHeight w:val="315"/>
        </w:trPr>
        <w:tc>
          <w:tcPr>
            <w:tcW w:w="4746" w:type="dxa"/>
            <w:tcMar>
              <w:top w:w="0" w:type="dxa"/>
              <w:left w:w="108" w:type="dxa"/>
              <w:bottom w:w="0" w:type="dxa"/>
              <w:right w:w="108" w:type="dxa"/>
            </w:tcMar>
            <w:vAlign w:val="bottom"/>
            <w:hideMark/>
          </w:tcPr>
          <w:p w14:paraId="423BDA8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485" w:type="dxa"/>
            <w:tcMar>
              <w:top w:w="0" w:type="dxa"/>
              <w:left w:w="108" w:type="dxa"/>
              <w:bottom w:w="0" w:type="dxa"/>
              <w:right w:w="108" w:type="dxa"/>
            </w:tcMar>
            <w:vAlign w:val="center"/>
            <w:hideMark/>
          </w:tcPr>
          <w:p w14:paraId="0D3C704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1343" w:type="dxa"/>
            <w:tcMar>
              <w:top w:w="0" w:type="dxa"/>
              <w:left w:w="108" w:type="dxa"/>
              <w:bottom w:w="0" w:type="dxa"/>
              <w:right w:w="108" w:type="dxa"/>
            </w:tcMar>
            <w:vAlign w:val="center"/>
            <w:hideMark/>
          </w:tcPr>
          <w:p w14:paraId="62ABFC7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1343" w:type="dxa"/>
            <w:tcMar>
              <w:top w:w="0" w:type="dxa"/>
              <w:left w:w="108" w:type="dxa"/>
              <w:bottom w:w="0" w:type="dxa"/>
              <w:right w:w="108" w:type="dxa"/>
            </w:tcMar>
            <w:vAlign w:val="center"/>
            <w:hideMark/>
          </w:tcPr>
          <w:p w14:paraId="7B01C65C"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r>
      <w:tr w:rsidR="00AE009D" w:rsidRPr="00AE009D" w14:paraId="059AA383" w14:textId="77777777" w:rsidTr="00AE009D">
        <w:trPr>
          <w:trHeight w:val="315"/>
        </w:trPr>
        <w:tc>
          <w:tcPr>
            <w:tcW w:w="4746" w:type="dxa"/>
            <w:tcMar>
              <w:top w:w="0" w:type="dxa"/>
              <w:left w:w="108" w:type="dxa"/>
              <w:bottom w:w="0" w:type="dxa"/>
              <w:right w:w="108" w:type="dxa"/>
            </w:tcMar>
            <w:vAlign w:val="bottom"/>
            <w:hideMark/>
          </w:tcPr>
          <w:p w14:paraId="08292AD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Cash flows from operating activities</w:t>
            </w:r>
          </w:p>
        </w:tc>
        <w:tc>
          <w:tcPr>
            <w:tcW w:w="1485" w:type="dxa"/>
            <w:tcMar>
              <w:top w:w="0" w:type="dxa"/>
              <w:left w:w="108" w:type="dxa"/>
              <w:bottom w:w="0" w:type="dxa"/>
              <w:right w:w="108" w:type="dxa"/>
            </w:tcMar>
            <w:vAlign w:val="center"/>
            <w:hideMark/>
          </w:tcPr>
          <w:p w14:paraId="2E5CBBC4"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vAlign w:val="center"/>
            <w:hideMark/>
          </w:tcPr>
          <w:p w14:paraId="369C233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1F0107F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9B55FFA" w14:textId="77777777" w:rsidTr="00AE009D">
        <w:trPr>
          <w:trHeight w:val="300"/>
        </w:trPr>
        <w:tc>
          <w:tcPr>
            <w:tcW w:w="4746" w:type="dxa"/>
            <w:tcMar>
              <w:top w:w="0" w:type="dxa"/>
              <w:left w:w="108" w:type="dxa"/>
              <w:bottom w:w="0" w:type="dxa"/>
              <w:right w:w="108" w:type="dxa"/>
            </w:tcMar>
            <w:vAlign w:val="center"/>
            <w:hideMark/>
          </w:tcPr>
          <w:p w14:paraId="187F8ED7"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(Loss)/profit before taxation</w:t>
            </w:r>
          </w:p>
        </w:tc>
        <w:tc>
          <w:tcPr>
            <w:tcW w:w="1485" w:type="dxa"/>
            <w:tcMar>
              <w:top w:w="0" w:type="dxa"/>
              <w:left w:w="108" w:type="dxa"/>
              <w:bottom w:w="0" w:type="dxa"/>
              <w:right w:w="108" w:type="dxa"/>
            </w:tcMar>
            <w:vAlign w:val="center"/>
            <w:hideMark/>
          </w:tcPr>
          <w:p w14:paraId="7097950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1343" w:type="dxa"/>
            <w:tcMar>
              <w:top w:w="0" w:type="dxa"/>
              <w:left w:w="108" w:type="dxa"/>
              <w:bottom w:w="0" w:type="dxa"/>
              <w:right w:w="108" w:type="dxa"/>
            </w:tcMar>
            <w:vAlign w:val="center"/>
            <w:hideMark/>
          </w:tcPr>
          <w:p w14:paraId="023E612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20</w:t>
            </w:r>
          </w:p>
        </w:tc>
        <w:tc>
          <w:tcPr>
            <w:tcW w:w="1343" w:type="dxa"/>
            <w:tcMar>
              <w:top w:w="0" w:type="dxa"/>
              <w:left w:w="108" w:type="dxa"/>
              <w:bottom w:w="0" w:type="dxa"/>
              <w:right w:w="108" w:type="dxa"/>
            </w:tcMar>
            <w:vAlign w:val="center"/>
            <w:hideMark/>
          </w:tcPr>
          <w:p w14:paraId="2E22D796"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(143)</w:t>
            </w:r>
          </w:p>
        </w:tc>
      </w:tr>
      <w:tr w:rsidR="00AE009D" w:rsidRPr="00AE009D" w14:paraId="51DB2528" w14:textId="77777777" w:rsidTr="00AE009D">
        <w:trPr>
          <w:trHeight w:val="300"/>
        </w:trPr>
        <w:tc>
          <w:tcPr>
            <w:tcW w:w="4746" w:type="dxa"/>
            <w:tcMar>
              <w:top w:w="0" w:type="dxa"/>
              <w:left w:w="108" w:type="dxa"/>
              <w:bottom w:w="0" w:type="dxa"/>
              <w:right w:w="108" w:type="dxa"/>
            </w:tcMar>
            <w:vAlign w:val="center"/>
            <w:hideMark/>
          </w:tcPr>
          <w:p w14:paraId="0E2FB31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Depreciation of property, plant and equipment</w:t>
            </w:r>
          </w:p>
        </w:tc>
        <w:tc>
          <w:tcPr>
            <w:tcW w:w="1485" w:type="dxa"/>
            <w:tcMar>
              <w:top w:w="0" w:type="dxa"/>
              <w:left w:w="108" w:type="dxa"/>
              <w:bottom w:w="0" w:type="dxa"/>
              <w:right w:w="108" w:type="dxa"/>
            </w:tcMar>
            <w:vAlign w:val="center"/>
            <w:hideMark/>
          </w:tcPr>
          <w:p w14:paraId="56F5645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c>
          <w:tcPr>
            <w:tcW w:w="1343" w:type="dxa"/>
            <w:tcMar>
              <w:top w:w="0" w:type="dxa"/>
              <w:left w:w="108" w:type="dxa"/>
              <w:bottom w:w="0" w:type="dxa"/>
              <w:right w:w="108" w:type="dxa"/>
            </w:tcMar>
            <w:vAlign w:val="center"/>
            <w:hideMark/>
          </w:tcPr>
          <w:p w14:paraId="1F16932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4</w:t>
            </w:r>
          </w:p>
        </w:tc>
        <w:tc>
          <w:tcPr>
            <w:tcW w:w="1343" w:type="dxa"/>
            <w:tcMar>
              <w:top w:w="0" w:type="dxa"/>
              <w:left w:w="108" w:type="dxa"/>
              <w:bottom w:w="0" w:type="dxa"/>
              <w:right w:w="108" w:type="dxa"/>
            </w:tcMar>
            <w:vAlign w:val="center"/>
            <w:hideMark/>
          </w:tcPr>
          <w:p w14:paraId="40171DB3"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w:t>
            </w:r>
          </w:p>
        </w:tc>
      </w:tr>
      <w:tr w:rsidR="00AE009D" w:rsidRPr="00AE009D" w14:paraId="0AAB9365" w14:textId="77777777" w:rsidTr="00AE009D">
        <w:trPr>
          <w:trHeight w:val="300"/>
        </w:trPr>
        <w:tc>
          <w:tcPr>
            <w:tcW w:w="4746" w:type="dxa"/>
            <w:tcMar>
              <w:top w:w="0" w:type="dxa"/>
              <w:left w:w="108" w:type="dxa"/>
              <w:bottom w:w="0" w:type="dxa"/>
              <w:right w:w="108" w:type="dxa"/>
            </w:tcMar>
            <w:vAlign w:val="center"/>
            <w:hideMark/>
          </w:tcPr>
          <w:p w14:paraId="5F2D5429"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Net finance costs  </w:t>
            </w:r>
          </w:p>
        </w:tc>
        <w:tc>
          <w:tcPr>
            <w:tcW w:w="1485" w:type="dxa"/>
            <w:tcMar>
              <w:top w:w="0" w:type="dxa"/>
              <w:left w:w="108" w:type="dxa"/>
              <w:bottom w:w="0" w:type="dxa"/>
              <w:right w:w="108" w:type="dxa"/>
            </w:tcMar>
            <w:vAlign w:val="center"/>
            <w:hideMark/>
          </w:tcPr>
          <w:p w14:paraId="6902808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w:t>
            </w:r>
          </w:p>
        </w:tc>
        <w:tc>
          <w:tcPr>
            <w:tcW w:w="1343" w:type="dxa"/>
            <w:tcMar>
              <w:top w:w="0" w:type="dxa"/>
              <w:left w:w="108" w:type="dxa"/>
              <w:bottom w:w="0" w:type="dxa"/>
              <w:right w:w="108" w:type="dxa"/>
            </w:tcMar>
            <w:vAlign w:val="center"/>
            <w:hideMark/>
          </w:tcPr>
          <w:p w14:paraId="200ADBB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7</w:t>
            </w:r>
          </w:p>
        </w:tc>
        <w:tc>
          <w:tcPr>
            <w:tcW w:w="1343" w:type="dxa"/>
            <w:tcMar>
              <w:top w:w="0" w:type="dxa"/>
              <w:left w:w="108" w:type="dxa"/>
              <w:bottom w:w="0" w:type="dxa"/>
              <w:right w:w="108" w:type="dxa"/>
            </w:tcMar>
            <w:vAlign w:val="center"/>
            <w:hideMark/>
          </w:tcPr>
          <w:p w14:paraId="5B9BFFA7"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14</w:t>
            </w:r>
          </w:p>
        </w:tc>
      </w:tr>
      <w:tr w:rsidR="00AE009D" w:rsidRPr="00AE009D" w14:paraId="7A09FE69" w14:textId="77777777" w:rsidTr="00AE009D">
        <w:trPr>
          <w:trHeight w:val="300"/>
        </w:trPr>
        <w:tc>
          <w:tcPr>
            <w:tcW w:w="4746" w:type="dxa"/>
            <w:tcMar>
              <w:top w:w="0" w:type="dxa"/>
              <w:left w:w="108" w:type="dxa"/>
              <w:bottom w:w="0" w:type="dxa"/>
              <w:right w:w="108" w:type="dxa"/>
            </w:tcMar>
            <w:vAlign w:val="center"/>
            <w:hideMark/>
          </w:tcPr>
          <w:p w14:paraId="7342487A"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Tax credit/(paid)  </w:t>
            </w:r>
          </w:p>
        </w:tc>
        <w:tc>
          <w:tcPr>
            <w:tcW w:w="1485" w:type="dxa"/>
            <w:tcMar>
              <w:top w:w="0" w:type="dxa"/>
              <w:left w:w="108" w:type="dxa"/>
              <w:bottom w:w="0" w:type="dxa"/>
              <w:right w:w="108" w:type="dxa"/>
            </w:tcMar>
            <w:vAlign w:val="center"/>
            <w:hideMark/>
          </w:tcPr>
          <w:p w14:paraId="50E378C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1343" w:type="dxa"/>
            <w:tcMar>
              <w:top w:w="0" w:type="dxa"/>
              <w:left w:w="108" w:type="dxa"/>
              <w:bottom w:w="0" w:type="dxa"/>
              <w:right w:w="108" w:type="dxa"/>
            </w:tcMar>
            <w:vAlign w:val="center"/>
            <w:hideMark/>
          </w:tcPr>
          <w:p w14:paraId="419CC833"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w:t>
            </w:r>
          </w:p>
        </w:tc>
        <w:tc>
          <w:tcPr>
            <w:tcW w:w="1343" w:type="dxa"/>
            <w:tcMar>
              <w:top w:w="0" w:type="dxa"/>
              <w:left w:w="108" w:type="dxa"/>
              <w:bottom w:w="0" w:type="dxa"/>
              <w:right w:w="108" w:type="dxa"/>
            </w:tcMar>
            <w:vAlign w:val="center"/>
            <w:hideMark/>
          </w:tcPr>
          <w:p w14:paraId="36B933E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w:t>
            </w:r>
          </w:p>
        </w:tc>
      </w:tr>
      <w:tr w:rsidR="00AE009D" w:rsidRPr="00AE009D" w14:paraId="44750DAE" w14:textId="77777777" w:rsidTr="00AE009D">
        <w:trPr>
          <w:trHeight w:val="300"/>
        </w:trPr>
        <w:tc>
          <w:tcPr>
            <w:tcW w:w="4746" w:type="dxa"/>
            <w:tcMar>
              <w:top w:w="0" w:type="dxa"/>
              <w:left w:w="108" w:type="dxa"/>
              <w:bottom w:w="0" w:type="dxa"/>
              <w:right w:w="108" w:type="dxa"/>
            </w:tcMar>
            <w:vAlign w:val="center"/>
            <w:hideMark/>
          </w:tcPr>
          <w:p w14:paraId="6C71F0E3"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Decrease/(Increase) in trade and other receivables</w:t>
            </w:r>
          </w:p>
        </w:tc>
        <w:tc>
          <w:tcPr>
            <w:tcW w:w="1485" w:type="dxa"/>
            <w:tcMar>
              <w:top w:w="0" w:type="dxa"/>
              <w:left w:w="108" w:type="dxa"/>
              <w:bottom w:w="0" w:type="dxa"/>
              <w:right w:w="108" w:type="dxa"/>
            </w:tcMar>
            <w:vAlign w:val="center"/>
            <w:hideMark/>
          </w:tcPr>
          <w:p w14:paraId="6A33204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726</w:t>
            </w:r>
          </w:p>
        </w:tc>
        <w:tc>
          <w:tcPr>
            <w:tcW w:w="1343" w:type="dxa"/>
            <w:tcMar>
              <w:top w:w="0" w:type="dxa"/>
              <w:left w:w="108" w:type="dxa"/>
              <w:bottom w:w="0" w:type="dxa"/>
              <w:right w:w="108" w:type="dxa"/>
            </w:tcMar>
            <w:vAlign w:val="center"/>
            <w:hideMark/>
          </w:tcPr>
          <w:p w14:paraId="466A790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(78)</w:t>
            </w:r>
          </w:p>
        </w:tc>
        <w:tc>
          <w:tcPr>
            <w:tcW w:w="1343" w:type="dxa"/>
            <w:tcMar>
              <w:top w:w="0" w:type="dxa"/>
              <w:left w:w="108" w:type="dxa"/>
              <w:bottom w:w="0" w:type="dxa"/>
              <w:right w:w="108" w:type="dxa"/>
            </w:tcMar>
            <w:vAlign w:val="center"/>
            <w:hideMark/>
          </w:tcPr>
          <w:p w14:paraId="7DB283B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102</w:t>
            </w:r>
          </w:p>
        </w:tc>
      </w:tr>
      <w:tr w:rsidR="00AE009D" w:rsidRPr="00AE009D" w14:paraId="601E8740" w14:textId="77777777" w:rsidTr="00AE009D">
        <w:trPr>
          <w:trHeight w:val="315"/>
        </w:trPr>
        <w:tc>
          <w:tcPr>
            <w:tcW w:w="4746" w:type="dxa"/>
            <w:tcMar>
              <w:top w:w="0" w:type="dxa"/>
              <w:left w:w="108" w:type="dxa"/>
              <w:bottom w:w="0" w:type="dxa"/>
              <w:right w:w="108" w:type="dxa"/>
            </w:tcMar>
            <w:vAlign w:val="center"/>
            <w:hideMark/>
          </w:tcPr>
          <w:p w14:paraId="599A9737"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Decrease in trade and other payables</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1AA7EC01"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(57)</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7159FB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(160)</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539D99B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(321)</w:t>
            </w:r>
          </w:p>
        </w:tc>
      </w:tr>
      <w:tr w:rsidR="00AE009D" w:rsidRPr="00AE009D" w14:paraId="16880682" w14:textId="77777777" w:rsidTr="00AE009D">
        <w:trPr>
          <w:trHeight w:val="315"/>
        </w:trPr>
        <w:tc>
          <w:tcPr>
            <w:tcW w:w="47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0E377B91"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Net cash generated by operating activities</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018C30F0"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575</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7A3E10B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(215)</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A136EA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(129)</w:t>
            </w:r>
          </w:p>
        </w:tc>
      </w:tr>
      <w:tr w:rsidR="00AE009D" w:rsidRPr="00AE009D" w14:paraId="5F4EE8F7" w14:textId="77777777" w:rsidTr="00AE009D">
        <w:trPr>
          <w:trHeight w:val="300"/>
        </w:trPr>
        <w:tc>
          <w:tcPr>
            <w:tcW w:w="4746" w:type="dxa"/>
            <w:tcMar>
              <w:top w:w="0" w:type="dxa"/>
              <w:left w:w="108" w:type="dxa"/>
              <w:bottom w:w="0" w:type="dxa"/>
              <w:right w:w="108" w:type="dxa"/>
            </w:tcMar>
            <w:vAlign w:val="center"/>
            <w:hideMark/>
          </w:tcPr>
          <w:p w14:paraId="7B6E71E7"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Cash flows from investing activities</w:t>
            </w:r>
          </w:p>
        </w:tc>
        <w:tc>
          <w:tcPr>
            <w:tcW w:w="1485" w:type="dxa"/>
            <w:tcMar>
              <w:top w:w="0" w:type="dxa"/>
              <w:left w:w="108" w:type="dxa"/>
              <w:bottom w:w="0" w:type="dxa"/>
              <w:right w:w="108" w:type="dxa"/>
            </w:tcMar>
            <w:vAlign w:val="center"/>
            <w:hideMark/>
          </w:tcPr>
          <w:p w14:paraId="5714B27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vAlign w:val="center"/>
            <w:hideMark/>
          </w:tcPr>
          <w:p w14:paraId="500F4955"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757D345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300DB2E" w14:textId="77777777" w:rsidTr="00AE009D">
        <w:trPr>
          <w:trHeight w:val="315"/>
        </w:trPr>
        <w:tc>
          <w:tcPr>
            <w:tcW w:w="4746" w:type="dxa"/>
            <w:tcMar>
              <w:top w:w="0" w:type="dxa"/>
              <w:left w:w="108" w:type="dxa"/>
              <w:bottom w:w="0" w:type="dxa"/>
              <w:right w:w="108" w:type="dxa"/>
            </w:tcMar>
            <w:vAlign w:val="center"/>
            <w:hideMark/>
          </w:tcPr>
          <w:p w14:paraId="714C3E71"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Purchase of property plant and equipment</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150478C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679A2A5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(13)</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2057CA8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(13)</w:t>
            </w:r>
          </w:p>
        </w:tc>
      </w:tr>
      <w:tr w:rsidR="00AE009D" w:rsidRPr="00AE009D" w14:paraId="1A8DE4A6" w14:textId="77777777" w:rsidTr="00AE009D">
        <w:trPr>
          <w:trHeight w:val="315"/>
        </w:trPr>
        <w:tc>
          <w:tcPr>
            <w:tcW w:w="47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32E55A84"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Net cash outflow from investing activities</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23CE3586"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8E818A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(13)</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B071A6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(13)</w:t>
            </w:r>
          </w:p>
        </w:tc>
      </w:tr>
      <w:tr w:rsidR="00AE009D" w:rsidRPr="00AE009D" w14:paraId="4D7918C5" w14:textId="77777777" w:rsidTr="00AE009D">
        <w:trPr>
          <w:trHeight w:val="300"/>
        </w:trPr>
        <w:tc>
          <w:tcPr>
            <w:tcW w:w="4746" w:type="dxa"/>
            <w:tcMar>
              <w:top w:w="0" w:type="dxa"/>
              <w:left w:w="108" w:type="dxa"/>
              <w:bottom w:w="0" w:type="dxa"/>
              <w:right w:w="108" w:type="dxa"/>
            </w:tcMar>
            <w:vAlign w:val="center"/>
            <w:hideMark/>
          </w:tcPr>
          <w:p w14:paraId="5089835A"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Financing activities</w:t>
            </w:r>
          </w:p>
        </w:tc>
        <w:tc>
          <w:tcPr>
            <w:tcW w:w="1485" w:type="dxa"/>
            <w:tcMar>
              <w:top w:w="0" w:type="dxa"/>
              <w:left w:w="108" w:type="dxa"/>
              <w:bottom w:w="0" w:type="dxa"/>
              <w:right w:w="108" w:type="dxa"/>
            </w:tcMar>
            <w:vAlign w:val="center"/>
            <w:hideMark/>
          </w:tcPr>
          <w:p w14:paraId="468105BC"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vAlign w:val="center"/>
            <w:hideMark/>
          </w:tcPr>
          <w:p w14:paraId="5EC5E8A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697BCD1F"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662B048" w14:textId="77777777" w:rsidTr="00AE009D">
        <w:trPr>
          <w:trHeight w:val="300"/>
        </w:trPr>
        <w:tc>
          <w:tcPr>
            <w:tcW w:w="4746" w:type="dxa"/>
            <w:tcMar>
              <w:top w:w="0" w:type="dxa"/>
              <w:left w:w="108" w:type="dxa"/>
              <w:bottom w:w="0" w:type="dxa"/>
              <w:right w:w="108" w:type="dxa"/>
            </w:tcMar>
            <w:vAlign w:val="center"/>
            <w:hideMark/>
          </w:tcPr>
          <w:p w14:paraId="39B816BB"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(Decrease)/Increase in borrowings</w:t>
            </w:r>
          </w:p>
        </w:tc>
        <w:tc>
          <w:tcPr>
            <w:tcW w:w="1485" w:type="dxa"/>
            <w:tcMar>
              <w:top w:w="0" w:type="dxa"/>
              <w:left w:w="108" w:type="dxa"/>
              <w:bottom w:w="0" w:type="dxa"/>
              <w:right w:w="108" w:type="dxa"/>
            </w:tcMar>
            <w:vAlign w:val="center"/>
            <w:hideMark/>
          </w:tcPr>
          <w:p w14:paraId="664CE39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(507)</w:t>
            </w:r>
          </w:p>
        </w:tc>
        <w:tc>
          <w:tcPr>
            <w:tcW w:w="1343" w:type="dxa"/>
            <w:tcMar>
              <w:top w:w="0" w:type="dxa"/>
              <w:left w:w="108" w:type="dxa"/>
              <w:bottom w:w="0" w:type="dxa"/>
              <w:right w:w="108" w:type="dxa"/>
            </w:tcMar>
            <w:vAlign w:val="center"/>
            <w:hideMark/>
          </w:tcPr>
          <w:p w14:paraId="2EC4FC8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83</w:t>
            </w:r>
          </w:p>
        </w:tc>
        <w:tc>
          <w:tcPr>
            <w:tcW w:w="1343" w:type="dxa"/>
            <w:tcMar>
              <w:top w:w="0" w:type="dxa"/>
              <w:left w:w="108" w:type="dxa"/>
              <w:bottom w:w="0" w:type="dxa"/>
              <w:right w:w="108" w:type="dxa"/>
            </w:tcMar>
            <w:vAlign w:val="center"/>
            <w:hideMark/>
          </w:tcPr>
          <w:p w14:paraId="56181EC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363</w:t>
            </w:r>
          </w:p>
        </w:tc>
      </w:tr>
      <w:tr w:rsidR="00AE009D" w:rsidRPr="00AE009D" w14:paraId="22F1A262" w14:textId="77777777" w:rsidTr="00AE009D">
        <w:trPr>
          <w:trHeight w:val="315"/>
        </w:trPr>
        <w:tc>
          <w:tcPr>
            <w:tcW w:w="4746" w:type="dxa"/>
            <w:tcMar>
              <w:top w:w="0" w:type="dxa"/>
              <w:left w:w="108" w:type="dxa"/>
              <w:bottom w:w="0" w:type="dxa"/>
              <w:right w:w="108" w:type="dxa"/>
            </w:tcMar>
            <w:vAlign w:val="center"/>
            <w:hideMark/>
          </w:tcPr>
          <w:p w14:paraId="4311A621"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Finance cost paid</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171F1017"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1DB8FC8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(7)</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5CBB928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(14)</w:t>
            </w:r>
          </w:p>
        </w:tc>
      </w:tr>
      <w:tr w:rsidR="00AE009D" w:rsidRPr="00AE009D" w14:paraId="7DEC3108" w14:textId="77777777" w:rsidTr="00AE009D">
        <w:trPr>
          <w:trHeight w:val="315"/>
        </w:trPr>
        <w:tc>
          <w:tcPr>
            <w:tcW w:w="47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AEF52CF"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Net cash outflow from financing activities</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3A48946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(510)</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0D7339D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76</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187FE7C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349</w:t>
            </w:r>
          </w:p>
        </w:tc>
      </w:tr>
      <w:tr w:rsidR="00AE009D" w:rsidRPr="00AE009D" w14:paraId="330CA963" w14:textId="77777777" w:rsidTr="00AE009D">
        <w:trPr>
          <w:trHeight w:val="315"/>
        </w:trPr>
        <w:tc>
          <w:tcPr>
            <w:tcW w:w="4746" w:type="dxa"/>
            <w:tcMar>
              <w:top w:w="0" w:type="dxa"/>
              <w:left w:w="108" w:type="dxa"/>
              <w:bottom w:w="0" w:type="dxa"/>
              <w:right w:w="108" w:type="dxa"/>
            </w:tcMar>
            <w:vAlign w:val="bottom"/>
            <w:hideMark/>
          </w:tcPr>
          <w:p w14:paraId="6921FB63"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Net changes in cash and cash equivalents </w:t>
            </w:r>
          </w:p>
        </w:tc>
        <w:tc>
          <w:tcPr>
            <w:tcW w:w="1485" w:type="dxa"/>
            <w:tcMar>
              <w:top w:w="0" w:type="dxa"/>
              <w:left w:w="108" w:type="dxa"/>
              <w:bottom w:w="0" w:type="dxa"/>
              <w:right w:w="108" w:type="dxa"/>
            </w:tcMar>
            <w:vAlign w:val="center"/>
            <w:hideMark/>
          </w:tcPr>
          <w:p w14:paraId="57B5EBF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65</w:t>
            </w:r>
          </w:p>
        </w:tc>
        <w:tc>
          <w:tcPr>
            <w:tcW w:w="1343" w:type="dxa"/>
            <w:tcMar>
              <w:top w:w="0" w:type="dxa"/>
              <w:left w:w="108" w:type="dxa"/>
              <w:bottom w:w="0" w:type="dxa"/>
              <w:right w:w="108" w:type="dxa"/>
            </w:tcMar>
            <w:vAlign w:val="center"/>
            <w:hideMark/>
          </w:tcPr>
          <w:p w14:paraId="792B3FB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(152)</w:t>
            </w:r>
          </w:p>
        </w:tc>
        <w:tc>
          <w:tcPr>
            <w:tcW w:w="1343" w:type="dxa"/>
            <w:tcMar>
              <w:top w:w="0" w:type="dxa"/>
              <w:left w:w="108" w:type="dxa"/>
              <w:bottom w:w="0" w:type="dxa"/>
              <w:right w:w="108" w:type="dxa"/>
            </w:tcMar>
            <w:vAlign w:val="center"/>
            <w:hideMark/>
          </w:tcPr>
          <w:p w14:paraId="0B395F6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r>
      <w:tr w:rsidR="00AE009D" w:rsidRPr="00AE009D" w14:paraId="7B4BF34D" w14:textId="77777777" w:rsidTr="00AE009D">
        <w:trPr>
          <w:trHeight w:val="300"/>
        </w:trPr>
        <w:tc>
          <w:tcPr>
            <w:tcW w:w="4746" w:type="dxa"/>
            <w:tcMar>
              <w:top w:w="0" w:type="dxa"/>
              <w:left w:w="108" w:type="dxa"/>
              <w:bottom w:w="0" w:type="dxa"/>
              <w:right w:w="108" w:type="dxa"/>
            </w:tcMar>
            <w:vAlign w:val="center"/>
            <w:hideMark/>
          </w:tcPr>
          <w:p w14:paraId="07CB07B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Cash and cash equivalents, beginning of year</w:t>
            </w:r>
          </w:p>
        </w:tc>
        <w:tc>
          <w:tcPr>
            <w:tcW w:w="1485" w:type="dxa"/>
            <w:tcMar>
              <w:top w:w="0" w:type="dxa"/>
              <w:left w:w="108" w:type="dxa"/>
              <w:bottom w:w="0" w:type="dxa"/>
              <w:right w:w="108" w:type="dxa"/>
            </w:tcMar>
            <w:vAlign w:val="center"/>
            <w:hideMark/>
          </w:tcPr>
          <w:p w14:paraId="12F2EB2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190</w:t>
            </w:r>
          </w:p>
        </w:tc>
        <w:tc>
          <w:tcPr>
            <w:tcW w:w="1343" w:type="dxa"/>
            <w:tcMar>
              <w:top w:w="0" w:type="dxa"/>
              <w:left w:w="108" w:type="dxa"/>
              <w:bottom w:w="0" w:type="dxa"/>
              <w:right w:w="108" w:type="dxa"/>
            </w:tcMar>
            <w:vAlign w:val="center"/>
            <w:hideMark/>
          </w:tcPr>
          <w:p w14:paraId="0C3395C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166</w:t>
            </w:r>
          </w:p>
        </w:tc>
        <w:tc>
          <w:tcPr>
            <w:tcW w:w="1343" w:type="dxa"/>
            <w:tcMar>
              <w:top w:w="0" w:type="dxa"/>
              <w:left w:w="108" w:type="dxa"/>
              <w:bottom w:w="0" w:type="dxa"/>
              <w:right w:w="108" w:type="dxa"/>
            </w:tcMar>
            <w:vAlign w:val="center"/>
            <w:hideMark/>
          </w:tcPr>
          <w:p w14:paraId="3204C02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166</w:t>
            </w:r>
          </w:p>
        </w:tc>
      </w:tr>
      <w:tr w:rsidR="00AE009D" w:rsidRPr="00AE009D" w14:paraId="6E075644" w14:textId="77777777" w:rsidTr="00AE009D">
        <w:trPr>
          <w:trHeight w:val="315"/>
        </w:trPr>
        <w:tc>
          <w:tcPr>
            <w:tcW w:w="4746" w:type="dxa"/>
            <w:tcMar>
              <w:top w:w="0" w:type="dxa"/>
              <w:left w:w="108" w:type="dxa"/>
              <w:bottom w:w="0" w:type="dxa"/>
              <w:right w:w="108" w:type="dxa"/>
            </w:tcMar>
            <w:vAlign w:val="center"/>
            <w:hideMark/>
          </w:tcPr>
          <w:p w14:paraId="2BC1C317"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Effect of foreign exchange rate movements</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43661568"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E501EA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(6)</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22B3FD40"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36</w:t>
            </w:r>
          </w:p>
        </w:tc>
      </w:tr>
      <w:tr w:rsidR="00AE009D" w:rsidRPr="00AE009D" w14:paraId="49E23C46" w14:textId="77777777" w:rsidTr="00AE009D">
        <w:trPr>
          <w:trHeight w:val="315"/>
        </w:trPr>
        <w:tc>
          <w:tcPr>
            <w:tcW w:w="47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A855CA0"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Cash and cash equivalents at end of period</w:t>
            </w:r>
          </w:p>
        </w:tc>
        <w:tc>
          <w:tcPr>
            <w:tcW w:w="1485" w:type="dxa"/>
            <w:tcBorders>
              <w:top w:val="nil"/>
              <w:left w:val="nil"/>
              <w:bottom w:val="single" w:sz="8" w:space="0" w:color="auto"/>
              <w:right w:val="nil"/>
            </w:tcBorders>
            <w:tcMar>
              <w:top w:w="0" w:type="dxa"/>
              <w:left w:w="108" w:type="dxa"/>
              <w:bottom w:w="0" w:type="dxa"/>
              <w:right w:w="108" w:type="dxa"/>
            </w:tcMar>
            <w:vAlign w:val="center"/>
            <w:hideMark/>
          </w:tcPr>
          <w:p w14:paraId="593F2B95"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253</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6777DB9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8</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7C2F9E8B"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190</w:t>
            </w:r>
          </w:p>
        </w:tc>
      </w:tr>
    </w:tbl>
    <w:p w14:paraId="072F13FD"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341E7A1F"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103FCD5C"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7AB5EA95" w14:textId="77777777" w:rsidR="00AE009D" w:rsidRPr="00AE009D" w:rsidRDefault="00AE009D" w:rsidP="00AE009D">
      <w:pPr>
        <w:ind w:left="-426"/>
        <w:rPr>
          <w:rFonts w:ascii="Calibri" w:eastAsia="Times New Roman" w:hAnsi="Calibri" w:cs="Calibri"/>
          <w:color w:val="000000"/>
          <w:lang w:eastAsia="en-GB"/>
        </w:rPr>
      </w:pPr>
      <w:r w:rsidRPr="00AE009D">
        <w:rPr>
          <w:rFonts w:ascii="Calibri" w:eastAsia="Times New Roman" w:hAnsi="Calibri" w:cs="Calibri"/>
          <w:color w:val="000000"/>
          <w:lang w:eastAsia="en-GB"/>
        </w:rPr>
        <w:t> </w:t>
      </w:r>
    </w:p>
    <w:p w14:paraId="2FF53DC2" w14:textId="77777777" w:rsidR="00AE009D" w:rsidRPr="00AE009D" w:rsidRDefault="00AE009D" w:rsidP="00AE009D">
      <w:pPr>
        <w:spacing w:before="130"/>
        <w:jc w:val="both"/>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Notes to the Interim Report</w:t>
      </w:r>
    </w:p>
    <w:p w14:paraId="6E4EF70B" w14:textId="77777777" w:rsidR="00AE009D" w:rsidRPr="00AE009D" w:rsidRDefault="00AE009D" w:rsidP="00AE009D">
      <w:pPr>
        <w:spacing w:before="130"/>
        <w:jc w:val="both"/>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lastRenderedPageBreak/>
        <w:t> </w:t>
      </w:r>
    </w:p>
    <w:p w14:paraId="66684A58" w14:textId="77777777" w:rsidR="00AE009D" w:rsidRPr="00AE009D" w:rsidRDefault="00AE009D" w:rsidP="00AE009D">
      <w:pPr>
        <w:spacing w:before="130"/>
        <w:jc w:val="both"/>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1. Basis of Preparation</w:t>
      </w:r>
    </w:p>
    <w:p w14:paraId="49F8FACB" w14:textId="77777777" w:rsidR="00AE009D" w:rsidRPr="00AE009D" w:rsidRDefault="00AE009D" w:rsidP="00AE009D">
      <w:pPr>
        <w:spacing w:before="130"/>
        <w:jc w:val="both"/>
        <w:rPr>
          <w:rFonts w:ascii="Calibri" w:eastAsia="Times New Roman" w:hAnsi="Calibri" w:cs="Calibri"/>
          <w:color w:val="000000"/>
          <w:lang w:eastAsia="en-GB"/>
        </w:rPr>
      </w:pPr>
      <w:r w:rsidRPr="00AE009D">
        <w:rPr>
          <w:rFonts w:ascii="Arial" w:eastAsia="Times New Roman" w:hAnsi="Arial" w:cs="Arial"/>
          <w:color w:val="FF0000"/>
          <w:sz w:val="20"/>
          <w:szCs w:val="20"/>
          <w:lang w:eastAsia="en-GB"/>
        </w:rPr>
        <w:t> </w:t>
      </w:r>
    </w:p>
    <w:p w14:paraId="6FBA1C01"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This unaudited consolidated interim financial information has been prepared in accordance with International Accounting Standards and International Financial Reporting Standards as issued by the International Accounting Standards Board and adopted by the EU.  It does not constitute the Group's statutory financial statements for those periods. The principal accounting policies used in preparing the interim results are those the Group expects to apply in its financial statements for the year ending 31 March 2021. The comparative financial information for the half year ended 30 September 2019 has not been audited. </w:t>
      </w:r>
    </w:p>
    <w:p w14:paraId="51D13F88"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637F3745"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A copy of the full year audited statutory financial statements for the year ended 31 March 2020 has been finalised and is due to be delivered to the Registrar of Companies in advance of the reporting deadline. The auditors' report on those accounts was unqualified, with a Material Uncertainty Related to Going Concern paragraph and did not contain a statement under Section 498(2) or Section 498(3) Companies Act 2006.</w:t>
      </w:r>
    </w:p>
    <w:p w14:paraId="22783D5E"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79D6F6D1"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AIM-quoted companies are not required to comply with IAS34 'Interim Financial Reporting' and the Company has taken advantage of this exemption.</w:t>
      </w:r>
    </w:p>
    <w:p w14:paraId="46C7AE8E" w14:textId="77777777" w:rsidR="00AE009D" w:rsidRPr="00AE009D" w:rsidRDefault="00AE009D" w:rsidP="00AE009D">
      <w:pPr>
        <w:jc w:val="both"/>
        <w:rPr>
          <w:rFonts w:ascii="Calibri" w:eastAsia="Times New Roman" w:hAnsi="Calibri" w:cs="Calibri"/>
          <w:color w:val="000000"/>
          <w:lang w:eastAsia="en-GB"/>
        </w:rPr>
      </w:pPr>
      <w:r w:rsidRPr="00AE009D">
        <w:rPr>
          <w:rFonts w:ascii="Calibri" w:eastAsia="Times New Roman" w:hAnsi="Calibri" w:cs="Calibri"/>
          <w:color w:val="000000"/>
          <w:lang w:eastAsia="en-GB"/>
        </w:rPr>
        <w:br/>
      </w:r>
      <w:r w:rsidRPr="00AE009D">
        <w:rPr>
          <w:rFonts w:ascii="Arial" w:eastAsia="Times New Roman" w:hAnsi="Arial" w:cs="Arial"/>
          <w:color w:val="000000"/>
          <w:sz w:val="20"/>
          <w:szCs w:val="20"/>
          <w:lang w:eastAsia="en-GB"/>
        </w:rPr>
        <w:t>The financial information in the Interim Report is presented in Sterling and all values are rounded to the nearest thousand pounds (£'000) except when otherwise indicated.</w:t>
      </w:r>
    </w:p>
    <w:p w14:paraId="75805686"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578443D2"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082AB3EC"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2. Going concern</w:t>
      </w:r>
    </w:p>
    <w:p w14:paraId="69451609"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1A6B450B" w14:textId="77777777" w:rsidR="00AE009D" w:rsidRPr="00AE009D" w:rsidRDefault="00AE009D" w:rsidP="00AE009D">
      <w:pPr>
        <w:jc w:val="both"/>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The directors have recently announced the sale of the Group's trading businesses to Sanderson Group as it has become increasingly clear that without an injection of capital the Group may not be able to continue to trade. Further details of the proposed sale are set out in a circular sent to shareholders on 10 December 2020.  Should the proposed sale proceed, which is subject to shareholder approval, the Company will become an AIM Rule 15 cash shell. As such, the Company will either be required to make an acquisition or acquisitions constituting a reverse takeover under AIM Rule 14 on or before the date falling six months from the date of becoming a cash shell or be re-admitted to trading on AIM as an investing company under the AIM Rules (which requires the raising of at least £6 million) failing which, the Ordinary Shares would then be suspended from trading on AIM pursuant to AIM Rule 40. Admission to trading on AIM would be cancelled six months from the date of any suspension should the suspension not have been lifted beforehand.</w:t>
      </w:r>
    </w:p>
    <w:p w14:paraId="20446E72" w14:textId="77777777" w:rsidR="00AE009D" w:rsidRPr="00AE009D" w:rsidRDefault="00AE009D" w:rsidP="00AE009D">
      <w:pPr>
        <w:jc w:val="both"/>
        <w:rPr>
          <w:rFonts w:ascii="Calibri" w:eastAsia="Times New Roman" w:hAnsi="Calibri" w:cs="Calibri"/>
          <w:color w:val="000000"/>
          <w:lang w:eastAsia="en-GB"/>
        </w:rPr>
      </w:pPr>
      <w:r w:rsidRPr="00AE009D">
        <w:rPr>
          <w:rFonts w:ascii="Calibri" w:eastAsia="Times New Roman" w:hAnsi="Calibri" w:cs="Calibri"/>
          <w:color w:val="000000"/>
          <w:lang w:eastAsia="en-GB"/>
        </w:rPr>
        <w:br/>
      </w:r>
      <w:r w:rsidRPr="00AE009D">
        <w:rPr>
          <w:rFonts w:ascii="Arial" w:eastAsia="Times New Roman" w:hAnsi="Arial" w:cs="Arial"/>
          <w:color w:val="000000"/>
          <w:sz w:val="20"/>
          <w:szCs w:val="20"/>
          <w:lang w:eastAsia="en-GB"/>
        </w:rPr>
        <w:t>Should the sale of the trading businesses not proceed, the directors believe that without additional funding and a material improvement in market conditions it will not be possible to grow the trading businesses further or to maintain the Group as a going concern. Should the sale of the Trading Businesses not proceed, the Directors believe they will be forced to take steps to protect the interests of the Group's creditors. However, the directors are confident that the proposed sale will proceed and subsequently the Company will make an acquisition and therefore they continue to adopt the going concern basis of accounting in preparing the financial statements.</w:t>
      </w:r>
    </w:p>
    <w:p w14:paraId="7C4DCEC5"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50026715"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073972DD"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3. Earnings per share</w:t>
      </w:r>
    </w:p>
    <w:p w14:paraId="41F840C8"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6BDA10D8"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16202C"/>
          <w:sz w:val="20"/>
          <w:szCs w:val="20"/>
          <w:lang w:eastAsia="en-GB"/>
        </w:rPr>
        <w:t>Basic earnings per share are calculated by dividing the profit for the Period attributable to the shareholders by the weighted average number of shares in issue. The calculation of diluted earnings per share takes into account the potentially diluting effect of share options.</w:t>
      </w:r>
    </w:p>
    <w:p w14:paraId="27C526A8"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16202C"/>
          <w:sz w:val="20"/>
          <w:szCs w:val="20"/>
          <w:lang w:eastAsia="en-GB"/>
        </w:rPr>
        <w:t> </w:t>
      </w:r>
    </w:p>
    <w:tbl>
      <w:tblPr>
        <w:tblW w:w="9781" w:type="dxa"/>
        <w:tblInd w:w="-108" w:type="dxa"/>
        <w:tblCellMar>
          <w:left w:w="0" w:type="dxa"/>
          <w:right w:w="0" w:type="dxa"/>
        </w:tblCellMar>
        <w:tblLook w:val="04A0" w:firstRow="1" w:lastRow="0" w:firstColumn="1" w:lastColumn="0" w:noHBand="0" w:noVBand="1"/>
      </w:tblPr>
      <w:tblGrid>
        <w:gridCol w:w="5206"/>
        <w:gridCol w:w="1699"/>
        <w:gridCol w:w="1403"/>
        <w:gridCol w:w="1473"/>
      </w:tblGrid>
      <w:tr w:rsidR="00AE009D" w:rsidRPr="00AE009D" w14:paraId="702F860F" w14:textId="77777777" w:rsidTr="00AE009D">
        <w:trPr>
          <w:trHeight w:val="315"/>
        </w:trPr>
        <w:tc>
          <w:tcPr>
            <w:tcW w:w="4746" w:type="dxa"/>
            <w:tcMar>
              <w:top w:w="0" w:type="dxa"/>
              <w:left w:w="108" w:type="dxa"/>
              <w:bottom w:w="0" w:type="dxa"/>
              <w:right w:w="108" w:type="dxa"/>
            </w:tcMar>
            <w:vAlign w:val="bottom"/>
            <w:hideMark/>
          </w:tcPr>
          <w:p w14:paraId="5168BBF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549" w:type="dxa"/>
            <w:tcMar>
              <w:top w:w="0" w:type="dxa"/>
              <w:left w:w="108" w:type="dxa"/>
              <w:bottom w:w="0" w:type="dxa"/>
              <w:right w:w="108" w:type="dxa"/>
            </w:tcMar>
            <w:vAlign w:val="center"/>
            <w:hideMark/>
          </w:tcPr>
          <w:p w14:paraId="3A00EB9F"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6 months to </w:t>
            </w:r>
          </w:p>
          <w:p w14:paraId="505BFF43"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30 Sep 2020</w:t>
            </w:r>
          </w:p>
          <w:p w14:paraId="745C98A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Unaudited</w:t>
            </w:r>
          </w:p>
        </w:tc>
        <w:tc>
          <w:tcPr>
            <w:tcW w:w="1279" w:type="dxa"/>
            <w:tcMar>
              <w:top w:w="0" w:type="dxa"/>
              <w:left w:w="108" w:type="dxa"/>
              <w:bottom w:w="0" w:type="dxa"/>
              <w:right w:w="108" w:type="dxa"/>
            </w:tcMar>
            <w:vAlign w:val="center"/>
            <w:hideMark/>
          </w:tcPr>
          <w:p w14:paraId="1F588341"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6 months to </w:t>
            </w:r>
          </w:p>
          <w:p w14:paraId="21B00698"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30 Sep 2019</w:t>
            </w:r>
          </w:p>
          <w:p w14:paraId="78F9AE9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Unaudited</w:t>
            </w:r>
          </w:p>
        </w:tc>
        <w:tc>
          <w:tcPr>
            <w:tcW w:w="1343" w:type="dxa"/>
            <w:tcMar>
              <w:top w:w="0" w:type="dxa"/>
              <w:left w:w="108" w:type="dxa"/>
              <w:bottom w:w="0" w:type="dxa"/>
              <w:right w:w="108" w:type="dxa"/>
            </w:tcMar>
            <w:vAlign w:val="center"/>
            <w:hideMark/>
          </w:tcPr>
          <w:p w14:paraId="1DAC9C1F"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  Year ended </w:t>
            </w:r>
          </w:p>
          <w:p w14:paraId="01EE1813"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31 Mar 2020</w:t>
            </w:r>
          </w:p>
          <w:p w14:paraId="261E36F8"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Audited</w:t>
            </w:r>
          </w:p>
        </w:tc>
      </w:tr>
      <w:tr w:rsidR="00AE009D" w:rsidRPr="00AE009D" w14:paraId="3567C08E" w14:textId="77777777" w:rsidTr="00AE009D">
        <w:trPr>
          <w:trHeight w:val="315"/>
        </w:trPr>
        <w:tc>
          <w:tcPr>
            <w:tcW w:w="4746" w:type="dxa"/>
            <w:tcMar>
              <w:top w:w="0" w:type="dxa"/>
              <w:left w:w="108" w:type="dxa"/>
              <w:bottom w:w="0" w:type="dxa"/>
              <w:right w:w="108" w:type="dxa"/>
            </w:tcMar>
            <w:vAlign w:val="bottom"/>
            <w:hideMark/>
          </w:tcPr>
          <w:p w14:paraId="6A36E69B"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549" w:type="dxa"/>
            <w:tcMar>
              <w:top w:w="0" w:type="dxa"/>
              <w:left w:w="108" w:type="dxa"/>
              <w:bottom w:w="0" w:type="dxa"/>
              <w:right w:w="108" w:type="dxa"/>
            </w:tcMar>
            <w:vAlign w:val="center"/>
            <w:hideMark/>
          </w:tcPr>
          <w:p w14:paraId="5739BD9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£'000</w:t>
            </w:r>
          </w:p>
        </w:tc>
        <w:tc>
          <w:tcPr>
            <w:tcW w:w="1279" w:type="dxa"/>
            <w:tcMar>
              <w:top w:w="0" w:type="dxa"/>
              <w:left w:w="108" w:type="dxa"/>
              <w:bottom w:w="0" w:type="dxa"/>
              <w:right w:w="108" w:type="dxa"/>
            </w:tcMar>
            <w:vAlign w:val="center"/>
            <w:hideMark/>
          </w:tcPr>
          <w:p w14:paraId="5D2A6E2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c>
          <w:tcPr>
            <w:tcW w:w="1343" w:type="dxa"/>
            <w:tcMar>
              <w:top w:w="0" w:type="dxa"/>
              <w:left w:w="108" w:type="dxa"/>
              <w:bottom w:w="0" w:type="dxa"/>
              <w:right w:w="108" w:type="dxa"/>
            </w:tcMar>
            <w:vAlign w:val="center"/>
            <w:hideMark/>
          </w:tcPr>
          <w:p w14:paraId="3FD04EB1" w14:textId="77777777" w:rsidR="00AE009D" w:rsidRPr="00AE009D" w:rsidRDefault="00AE009D" w:rsidP="00AE009D">
            <w:pPr>
              <w:ind w:right="28"/>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£'000</w:t>
            </w:r>
          </w:p>
        </w:tc>
      </w:tr>
      <w:tr w:rsidR="00AE009D" w:rsidRPr="00AE009D" w14:paraId="38205854" w14:textId="77777777" w:rsidTr="00AE009D">
        <w:trPr>
          <w:trHeight w:val="315"/>
        </w:trPr>
        <w:tc>
          <w:tcPr>
            <w:tcW w:w="4746" w:type="dxa"/>
            <w:tcMar>
              <w:top w:w="0" w:type="dxa"/>
              <w:left w:w="108" w:type="dxa"/>
              <w:bottom w:w="0" w:type="dxa"/>
              <w:right w:w="108" w:type="dxa"/>
            </w:tcMar>
            <w:vAlign w:val="bottom"/>
            <w:hideMark/>
          </w:tcPr>
          <w:p w14:paraId="6852E2C6"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lastRenderedPageBreak/>
              <w:t>Earnings</w:t>
            </w:r>
          </w:p>
        </w:tc>
        <w:tc>
          <w:tcPr>
            <w:tcW w:w="1549" w:type="dxa"/>
            <w:tcMar>
              <w:top w:w="0" w:type="dxa"/>
              <w:left w:w="108" w:type="dxa"/>
              <w:bottom w:w="0" w:type="dxa"/>
              <w:right w:w="108" w:type="dxa"/>
            </w:tcMar>
            <w:vAlign w:val="center"/>
            <w:hideMark/>
          </w:tcPr>
          <w:p w14:paraId="4ED2A1F1"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79" w:type="dxa"/>
            <w:tcMar>
              <w:top w:w="0" w:type="dxa"/>
              <w:left w:w="108" w:type="dxa"/>
              <w:bottom w:w="0" w:type="dxa"/>
              <w:right w:w="108" w:type="dxa"/>
            </w:tcMar>
            <w:vAlign w:val="center"/>
            <w:hideMark/>
          </w:tcPr>
          <w:p w14:paraId="019B767E"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441D6E6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67336E9" w14:textId="77777777" w:rsidTr="00AE009D">
        <w:trPr>
          <w:trHeight w:val="300"/>
        </w:trPr>
        <w:tc>
          <w:tcPr>
            <w:tcW w:w="4746" w:type="dxa"/>
            <w:tcMar>
              <w:top w:w="0" w:type="dxa"/>
              <w:left w:w="108" w:type="dxa"/>
              <w:bottom w:w="0" w:type="dxa"/>
              <w:right w:w="108" w:type="dxa"/>
            </w:tcMar>
            <w:vAlign w:val="center"/>
            <w:hideMark/>
          </w:tcPr>
          <w:p w14:paraId="4BE972B2"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Net (loss) attributable to equity shareholders</w:t>
            </w:r>
          </w:p>
        </w:tc>
        <w:tc>
          <w:tcPr>
            <w:tcW w:w="1549" w:type="dxa"/>
            <w:tcBorders>
              <w:top w:val="nil"/>
              <w:left w:val="nil"/>
              <w:bottom w:val="single" w:sz="8" w:space="0" w:color="auto"/>
              <w:right w:val="nil"/>
            </w:tcBorders>
            <w:tcMar>
              <w:top w:w="0" w:type="dxa"/>
              <w:left w:w="108" w:type="dxa"/>
              <w:bottom w:w="0" w:type="dxa"/>
              <w:right w:w="108" w:type="dxa"/>
            </w:tcMar>
            <w:vAlign w:val="center"/>
            <w:hideMark/>
          </w:tcPr>
          <w:p w14:paraId="55E1EAE2"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(99)</w:t>
            </w:r>
          </w:p>
        </w:tc>
        <w:tc>
          <w:tcPr>
            <w:tcW w:w="1279" w:type="dxa"/>
            <w:tcBorders>
              <w:top w:val="nil"/>
              <w:left w:val="nil"/>
              <w:bottom w:val="single" w:sz="8" w:space="0" w:color="auto"/>
              <w:right w:val="nil"/>
            </w:tcBorders>
            <w:tcMar>
              <w:top w:w="0" w:type="dxa"/>
              <w:left w:w="108" w:type="dxa"/>
              <w:bottom w:w="0" w:type="dxa"/>
              <w:right w:w="108" w:type="dxa"/>
            </w:tcMar>
            <w:vAlign w:val="center"/>
            <w:hideMark/>
          </w:tcPr>
          <w:p w14:paraId="56FCC03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12</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3967995C"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CB18AB8" w14:textId="77777777" w:rsidTr="00AE009D">
        <w:trPr>
          <w:trHeight w:val="315"/>
        </w:trPr>
        <w:tc>
          <w:tcPr>
            <w:tcW w:w="4746" w:type="dxa"/>
            <w:tcBorders>
              <w:top w:val="single" w:sz="8" w:space="0" w:color="auto"/>
              <w:left w:val="nil"/>
              <w:bottom w:val="nil"/>
              <w:right w:val="nil"/>
            </w:tcBorders>
            <w:tcMar>
              <w:top w:w="0" w:type="dxa"/>
              <w:left w:w="108" w:type="dxa"/>
              <w:bottom w:w="0" w:type="dxa"/>
              <w:right w:w="108" w:type="dxa"/>
            </w:tcMar>
            <w:vAlign w:val="center"/>
            <w:hideMark/>
          </w:tcPr>
          <w:p w14:paraId="1D0E7658" w14:textId="77777777" w:rsidR="00AE009D" w:rsidRPr="00AE009D" w:rsidRDefault="00AE009D" w:rsidP="00AE009D">
            <w:pP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549" w:type="dxa"/>
            <w:tcBorders>
              <w:top w:val="nil"/>
              <w:left w:val="nil"/>
              <w:bottom w:val="nil"/>
              <w:right w:val="nil"/>
            </w:tcBorders>
            <w:tcMar>
              <w:top w:w="0" w:type="dxa"/>
              <w:left w:w="108" w:type="dxa"/>
              <w:bottom w:w="0" w:type="dxa"/>
              <w:right w:w="108" w:type="dxa"/>
            </w:tcMar>
            <w:vAlign w:val="center"/>
            <w:hideMark/>
          </w:tcPr>
          <w:p w14:paraId="4EDEBE72"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79" w:type="dxa"/>
            <w:tcBorders>
              <w:top w:val="nil"/>
              <w:left w:val="nil"/>
              <w:bottom w:val="nil"/>
              <w:right w:val="nil"/>
            </w:tcBorders>
            <w:tcMar>
              <w:top w:w="0" w:type="dxa"/>
              <w:left w:w="108" w:type="dxa"/>
              <w:bottom w:w="0" w:type="dxa"/>
              <w:right w:w="108" w:type="dxa"/>
            </w:tcMar>
            <w:vAlign w:val="center"/>
            <w:hideMark/>
          </w:tcPr>
          <w:p w14:paraId="523D094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Borders>
              <w:top w:val="nil"/>
              <w:left w:val="nil"/>
              <w:bottom w:val="nil"/>
              <w:right w:val="nil"/>
            </w:tcBorders>
            <w:tcMar>
              <w:top w:w="0" w:type="dxa"/>
              <w:left w:w="108" w:type="dxa"/>
              <w:bottom w:w="0" w:type="dxa"/>
              <w:right w:w="108" w:type="dxa"/>
            </w:tcMar>
            <w:vAlign w:val="center"/>
            <w:hideMark/>
          </w:tcPr>
          <w:p w14:paraId="0A990DC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B78B535" w14:textId="77777777" w:rsidTr="00AE009D">
        <w:trPr>
          <w:trHeight w:val="300"/>
        </w:trPr>
        <w:tc>
          <w:tcPr>
            <w:tcW w:w="4746" w:type="dxa"/>
            <w:tcMar>
              <w:top w:w="0" w:type="dxa"/>
              <w:left w:w="108" w:type="dxa"/>
              <w:bottom w:w="0" w:type="dxa"/>
              <w:right w:w="108" w:type="dxa"/>
            </w:tcMar>
            <w:vAlign w:val="center"/>
            <w:hideMark/>
          </w:tcPr>
          <w:p w14:paraId="32237402"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Number of shares</w:t>
            </w:r>
          </w:p>
        </w:tc>
        <w:tc>
          <w:tcPr>
            <w:tcW w:w="1549" w:type="dxa"/>
            <w:tcMar>
              <w:top w:w="0" w:type="dxa"/>
              <w:left w:w="108" w:type="dxa"/>
              <w:bottom w:w="0" w:type="dxa"/>
              <w:right w:w="108" w:type="dxa"/>
            </w:tcMar>
            <w:vAlign w:val="center"/>
            <w:hideMark/>
          </w:tcPr>
          <w:p w14:paraId="15264F4A"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Number '000</w:t>
            </w:r>
          </w:p>
        </w:tc>
        <w:tc>
          <w:tcPr>
            <w:tcW w:w="1279" w:type="dxa"/>
            <w:tcMar>
              <w:top w:w="0" w:type="dxa"/>
              <w:left w:w="108" w:type="dxa"/>
              <w:bottom w:w="0" w:type="dxa"/>
              <w:right w:w="108" w:type="dxa"/>
            </w:tcMar>
            <w:vAlign w:val="center"/>
            <w:hideMark/>
          </w:tcPr>
          <w:p w14:paraId="79BC863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Number '000</w:t>
            </w:r>
          </w:p>
        </w:tc>
        <w:tc>
          <w:tcPr>
            <w:tcW w:w="1343" w:type="dxa"/>
            <w:tcMar>
              <w:top w:w="0" w:type="dxa"/>
              <w:left w:w="108" w:type="dxa"/>
              <w:bottom w:w="0" w:type="dxa"/>
              <w:right w:w="108" w:type="dxa"/>
            </w:tcMar>
            <w:vAlign w:val="center"/>
            <w:hideMark/>
          </w:tcPr>
          <w:p w14:paraId="507534D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Number '000</w:t>
            </w:r>
          </w:p>
        </w:tc>
      </w:tr>
      <w:tr w:rsidR="00AE009D" w:rsidRPr="00AE009D" w14:paraId="044F8EF5" w14:textId="77777777" w:rsidTr="00AE009D">
        <w:trPr>
          <w:trHeight w:val="300"/>
        </w:trPr>
        <w:tc>
          <w:tcPr>
            <w:tcW w:w="4746" w:type="dxa"/>
            <w:tcMar>
              <w:top w:w="0" w:type="dxa"/>
              <w:left w:w="108" w:type="dxa"/>
              <w:bottom w:w="0" w:type="dxa"/>
              <w:right w:w="108" w:type="dxa"/>
            </w:tcMar>
            <w:vAlign w:val="center"/>
            <w:hideMark/>
          </w:tcPr>
          <w:p w14:paraId="20CC8653"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Weighted average number of ordinary shares</w:t>
            </w:r>
          </w:p>
        </w:tc>
        <w:tc>
          <w:tcPr>
            <w:tcW w:w="1549" w:type="dxa"/>
            <w:tcMar>
              <w:top w:w="0" w:type="dxa"/>
              <w:left w:w="108" w:type="dxa"/>
              <w:bottom w:w="0" w:type="dxa"/>
              <w:right w:w="108" w:type="dxa"/>
            </w:tcMar>
            <w:vAlign w:val="center"/>
            <w:hideMark/>
          </w:tcPr>
          <w:p w14:paraId="6149F05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177,791</w:t>
            </w:r>
          </w:p>
        </w:tc>
        <w:tc>
          <w:tcPr>
            <w:tcW w:w="1279" w:type="dxa"/>
            <w:tcMar>
              <w:top w:w="0" w:type="dxa"/>
              <w:left w:w="108" w:type="dxa"/>
              <w:bottom w:w="0" w:type="dxa"/>
              <w:right w:w="108" w:type="dxa"/>
            </w:tcMar>
            <w:vAlign w:val="center"/>
            <w:hideMark/>
          </w:tcPr>
          <w:p w14:paraId="6C966A22"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177,791</w:t>
            </w:r>
          </w:p>
        </w:tc>
        <w:tc>
          <w:tcPr>
            <w:tcW w:w="1343" w:type="dxa"/>
            <w:tcMar>
              <w:top w:w="0" w:type="dxa"/>
              <w:left w:w="108" w:type="dxa"/>
              <w:bottom w:w="0" w:type="dxa"/>
              <w:right w:w="108" w:type="dxa"/>
            </w:tcMar>
            <w:vAlign w:val="center"/>
            <w:hideMark/>
          </w:tcPr>
          <w:p w14:paraId="61729874"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177,791</w:t>
            </w:r>
          </w:p>
        </w:tc>
      </w:tr>
      <w:tr w:rsidR="00AE009D" w:rsidRPr="00AE009D" w14:paraId="01C52897" w14:textId="77777777" w:rsidTr="00AE009D">
        <w:trPr>
          <w:trHeight w:val="315"/>
        </w:trPr>
        <w:tc>
          <w:tcPr>
            <w:tcW w:w="4746" w:type="dxa"/>
            <w:tcMar>
              <w:top w:w="0" w:type="dxa"/>
              <w:left w:w="108" w:type="dxa"/>
              <w:bottom w:w="0" w:type="dxa"/>
              <w:right w:w="108" w:type="dxa"/>
            </w:tcMar>
            <w:vAlign w:val="center"/>
            <w:hideMark/>
          </w:tcPr>
          <w:p w14:paraId="7B2C074B"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549" w:type="dxa"/>
            <w:tcBorders>
              <w:top w:val="nil"/>
              <w:left w:val="nil"/>
              <w:bottom w:val="single" w:sz="8" w:space="0" w:color="auto"/>
              <w:right w:val="nil"/>
            </w:tcBorders>
            <w:tcMar>
              <w:top w:w="0" w:type="dxa"/>
              <w:left w:w="108" w:type="dxa"/>
              <w:bottom w:w="0" w:type="dxa"/>
              <w:right w:w="108" w:type="dxa"/>
            </w:tcMar>
            <w:vAlign w:val="center"/>
            <w:hideMark/>
          </w:tcPr>
          <w:p w14:paraId="6320D49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79" w:type="dxa"/>
            <w:tcBorders>
              <w:top w:val="nil"/>
              <w:left w:val="nil"/>
              <w:bottom w:val="single" w:sz="8" w:space="0" w:color="auto"/>
              <w:right w:val="nil"/>
            </w:tcBorders>
            <w:tcMar>
              <w:top w:w="0" w:type="dxa"/>
              <w:left w:w="108" w:type="dxa"/>
              <w:bottom w:w="0" w:type="dxa"/>
              <w:right w:w="108" w:type="dxa"/>
            </w:tcMar>
            <w:vAlign w:val="center"/>
            <w:hideMark/>
          </w:tcPr>
          <w:p w14:paraId="7D88609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73EDB852"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8EBA746" w14:textId="77777777" w:rsidTr="00AE009D">
        <w:trPr>
          <w:trHeight w:val="315"/>
        </w:trPr>
        <w:tc>
          <w:tcPr>
            <w:tcW w:w="4746" w:type="dxa"/>
            <w:tcBorders>
              <w:top w:val="single" w:sz="8" w:space="0" w:color="auto"/>
              <w:left w:val="nil"/>
              <w:bottom w:val="nil"/>
              <w:right w:val="nil"/>
            </w:tcBorders>
            <w:tcMar>
              <w:top w:w="0" w:type="dxa"/>
              <w:left w:w="108" w:type="dxa"/>
              <w:bottom w:w="0" w:type="dxa"/>
              <w:right w:w="108" w:type="dxa"/>
            </w:tcMar>
            <w:vAlign w:val="center"/>
            <w:hideMark/>
          </w:tcPr>
          <w:p w14:paraId="03B2D3A5"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Earnings per share</w:t>
            </w:r>
          </w:p>
        </w:tc>
        <w:tc>
          <w:tcPr>
            <w:tcW w:w="1549" w:type="dxa"/>
            <w:tcMar>
              <w:top w:w="0" w:type="dxa"/>
              <w:left w:w="108" w:type="dxa"/>
              <w:bottom w:w="0" w:type="dxa"/>
              <w:right w:w="108" w:type="dxa"/>
            </w:tcMar>
            <w:vAlign w:val="center"/>
            <w:hideMark/>
          </w:tcPr>
          <w:p w14:paraId="7E6E098D"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p</w:t>
            </w:r>
          </w:p>
        </w:tc>
        <w:tc>
          <w:tcPr>
            <w:tcW w:w="1279" w:type="dxa"/>
            <w:tcMar>
              <w:top w:w="0" w:type="dxa"/>
              <w:left w:w="108" w:type="dxa"/>
              <w:bottom w:w="0" w:type="dxa"/>
              <w:right w:w="108" w:type="dxa"/>
            </w:tcMar>
            <w:vAlign w:val="center"/>
            <w:hideMark/>
          </w:tcPr>
          <w:p w14:paraId="5E71684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p</w:t>
            </w:r>
          </w:p>
        </w:tc>
        <w:tc>
          <w:tcPr>
            <w:tcW w:w="1343" w:type="dxa"/>
            <w:tcMar>
              <w:top w:w="0" w:type="dxa"/>
              <w:left w:w="108" w:type="dxa"/>
              <w:bottom w:w="0" w:type="dxa"/>
              <w:right w:w="108" w:type="dxa"/>
            </w:tcMar>
            <w:vAlign w:val="center"/>
            <w:hideMark/>
          </w:tcPr>
          <w:p w14:paraId="3FBAB62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p</w:t>
            </w:r>
          </w:p>
        </w:tc>
      </w:tr>
      <w:tr w:rsidR="00AE009D" w:rsidRPr="00AE009D" w14:paraId="29D2ED02" w14:textId="77777777" w:rsidTr="00AE009D">
        <w:trPr>
          <w:trHeight w:val="315"/>
        </w:trPr>
        <w:tc>
          <w:tcPr>
            <w:tcW w:w="4746" w:type="dxa"/>
            <w:tcMar>
              <w:top w:w="0" w:type="dxa"/>
              <w:left w:w="108" w:type="dxa"/>
              <w:bottom w:w="0" w:type="dxa"/>
              <w:right w:w="108" w:type="dxa"/>
            </w:tcMar>
            <w:vAlign w:val="center"/>
            <w:hideMark/>
          </w:tcPr>
          <w:p w14:paraId="037D1AD9"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Basic</w:t>
            </w:r>
          </w:p>
        </w:tc>
        <w:tc>
          <w:tcPr>
            <w:tcW w:w="1549" w:type="dxa"/>
            <w:tcMar>
              <w:top w:w="0" w:type="dxa"/>
              <w:left w:w="108" w:type="dxa"/>
              <w:bottom w:w="0" w:type="dxa"/>
              <w:right w:w="108" w:type="dxa"/>
            </w:tcMar>
            <w:vAlign w:val="center"/>
            <w:hideMark/>
          </w:tcPr>
          <w:p w14:paraId="717BB864"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(0.08)</w:t>
            </w:r>
          </w:p>
        </w:tc>
        <w:tc>
          <w:tcPr>
            <w:tcW w:w="1279" w:type="dxa"/>
            <w:tcMar>
              <w:top w:w="0" w:type="dxa"/>
              <w:left w:w="108" w:type="dxa"/>
              <w:bottom w:w="0" w:type="dxa"/>
              <w:right w:w="108" w:type="dxa"/>
            </w:tcMar>
            <w:vAlign w:val="center"/>
            <w:hideMark/>
          </w:tcPr>
          <w:p w14:paraId="325DD20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0.01</w:t>
            </w:r>
          </w:p>
        </w:tc>
        <w:tc>
          <w:tcPr>
            <w:tcW w:w="1343" w:type="dxa"/>
            <w:tcMar>
              <w:top w:w="0" w:type="dxa"/>
              <w:left w:w="108" w:type="dxa"/>
              <w:bottom w:w="0" w:type="dxa"/>
              <w:right w:w="108" w:type="dxa"/>
            </w:tcMar>
            <w:vAlign w:val="center"/>
            <w:hideMark/>
          </w:tcPr>
          <w:p w14:paraId="54505B7F"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(0.13)</w:t>
            </w:r>
          </w:p>
        </w:tc>
      </w:tr>
      <w:tr w:rsidR="00AE009D" w:rsidRPr="00AE009D" w14:paraId="6BB4020C" w14:textId="77777777" w:rsidTr="00AE009D">
        <w:trPr>
          <w:trHeight w:val="315"/>
        </w:trPr>
        <w:tc>
          <w:tcPr>
            <w:tcW w:w="4746" w:type="dxa"/>
            <w:tcMar>
              <w:top w:w="0" w:type="dxa"/>
              <w:left w:w="108" w:type="dxa"/>
              <w:bottom w:w="0" w:type="dxa"/>
              <w:right w:w="108" w:type="dxa"/>
            </w:tcMar>
            <w:vAlign w:val="bottom"/>
            <w:hideMark/>
          </w:tcPr>
          <w:p w14:paraId="1BDB1F59"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 </w:t>
            </w:r>
          </w:p>
          <w:p w14:paraId="404E66F5"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b/>
                <w:bCs/>
                <w:color w:val="000000"/>
                <w:sz w:val="20"/>
                <w:szCs w:val="20"/>
                <w:lang w:eastAsia="en-GB"/>
              </w:rPr>
              <w:t>Diluted effect of shares options</w:t>
            </w:r>
          </w:p>
          <w:p w14:paraId="1AD0A5BD"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Weighted average number of ordinary shares for the purposes of dilutive earnings per shares</w:t>
            </w:r>
          </w:p>
        </w:tc>
        <w:tc>
          <w:tcPr>
            <w:tcW w:w="1549" w:type="dxa"/>
            <w:tcMar>
              <w:top w:w="0" w:type="dxa"/>
              <w:left w:w="108" w:type="dxa"/>
              <w:bottom w:w="0" w:type="dxa"/>
              <w:right w:w="108" w:type="dxa"/>
            </w:tcMar>
            <w:vAlign w:val="center"/>
            <w:hideMark/>
          </w:tcPr>
          <w:p w14:paraId="51730A3E"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Number '000</w:t>
            </w:r>
          </w:p>
          <w:p w14:paraId="455CCA69"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2,235</w:t>
            </w:r>
          </w:p>
        </w:tc>
        <w:tc>
          <w:tcPr>
            <w:tcW w:w="1279" w:type="dxa"/>
            <w:tcMar>
              <w:top w:w="0" w:type="dxa"/>
              <w:left w:w="108" w:type="dxa"/>
              <w:bottom w:w="0" w:type="dxa"/>
              <w:right w:w="108" w:type="dxa"/>
            </w:tcMar>
            <w:vAlign w:val="center"/>
            <w:hideMark/>
          </w:tcPr>
          <w:p w14:paraId="13CDE87A"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Number '000</w:t>
            </w:r>
          </w:p>
          <w:p w14:paraId="5D5C4AF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2,235</w:t>
            </w:r>
          </w:p>
        </w:tc>
        <w:tc>
          <w:tcPr>
            <w:tcW w:w="1343" w:type="dxa"/>
            <w:tcMar>
              <w:top w:w="0" w:type="dxa"/>
              <w:left w:w="108" w:type="dxa"/>
              <w:bottom w:w="0" w:type="dxa"/>
              <w:right w:w="108" w:type="dxa"/>
            </w:tcMar>
            <w:vAlign w:val="center"/>
            <w:hideMark/>
          </w:tcPr>
          <w:p w14:paraId="38B5AE5E"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Number '000</w:t>
            </w:r>
          </w:p>
          <w:p w14:paraId="2CEF198D"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2,235</w:t>
            </w:r>
          </w:p>
        </w:tc>
      </w:tr>
      <w:tr w:rsidR="00AE009D" w:rsidRPr="00AE009D" w14:paraId="589A6E68" w14:textId="77777777" w:rsidTr="00AE009D">
        <w:trPr>
          <w:trHeight w:val="315"/>
        </w:trPr>
        <w:tc>
          <w:tcPr>
            <w:tcW w:w="4746" w:type="dxa"/>
            <w:tcMar>
              <w:top w:w="0" w:type="dxa"/>
              <w:left w:w="108" w:type="dxa"/>
              <w:bottom w:w="0" w:type="dxa"/>
              <w:right w:w="108" w:type="dxa"/>
            </w:tcMar>
            <w:vAlign w:val="center"/>
            <w:hideMark/>
          </w:tcPr>
          <w:p w14:paraId="73BF7FA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549" w:type="dxa"/>
            <w:tcBorders>
              <w:top w:val="nil"/>
              <w:left w:val="nil"/>
              <w:bottom w:val="single" w:sz="8" w:space="0" w:color="auto"/>
              <w:right w:val="nil"/>
            </w:tcBorders>
            <w:tcMar>
              <w:top w:w="0" w:type="dxa"/>
              <w:left w:w="108" w:type="dxa"/>
              <w:bottom w:w="0" w:type="dxa"/>
              <w:right w:w="108" w:type="dxa"/>
            </w:tcMar>
            <w:vAlign w:val="center"/>
            <w:hideMark/>
          </w:tcPr>
          <w:p w14:paraId="14919FF6" w14:textId="77777777" w:rsidR="00AE009D" w:rsidRPr="00AE009D" w:rsidRDefault="00AE009D" w:rsidP="00AE009D">
            <w:pPr>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79" w:type="dxa"/>
            <w:tcBorders>
              <w:top w:val="nil"/>
              <w:left w:val="nil"/>
              <w:bottom w:val="single" w:sz="8" w:space="0" w:color="auto"/>
              <w:right w:val="nil"/>
            </w:tcBorders>
            <w:tcMar>
              <w:top w:w="0" w:type="dxa"/>
              <w:left w:w="108" w:type="dxa"/>
              <w:bottom w:w="0" w:type="dxa"/>
              <w:right w:w="108" w:type="dxa"/>
            </w:tcMar>
            <w:vAlign w:val="center"/>
            <w:hideMark/>
          </w:tcPr>
          <w:p w14:paraId="31B255F1"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2197D386" w14:textId="77777777" w:rsidR="00AE009D" w:rsidRPr="00AE009D" w:rsidRDefault="00AE009D" w:rsidP="00AE009D">
            <w:pPr>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9A85E74" w14:textId="77777777" w:rsidTr="00AE009D">
        <w:trPr>
          <w:trHeight w:val="315"/>
        </w:trPr>
        <w:tc>
          <w:tcPr>
            <w:tcW w:w="47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378A647F" w14:textId="77777777" w:rsidR="00AE009D" w:rsidRPr="00AE009D" w:rsidRDefault="00AE009D" w:rsidP="00AE009D">
            <w:pPr>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Diluted earnings per share *</w:t>
            </w:r>
          </w:p>
          <w:p w14:paraId="533E385F" w14:textId="77777777" w:rsidR="00AE009D" w:rsidRPr="00AE009D" w:rsidRDefault="00AE009D" w:rsidP="00AE009D">
            <w:pPr>
              <w:rPr>
                <w:rFonts w:ascii="Calibri" w:eastAsia="Times New Roman" w:hAnsi="Calibri" w:cs="Calibri"/>
                <w:lang w:eastAsia="en-GB"/>
              </w:rPr>
            </w:pPr>
            <w:r w:rsidRPr="00AE009D">
              <w:rPr>
                <w:rFonts w:ascii="Arial" w:eastAsia="Times New Roman" w:hAnsi="Arial" w:cs="Arial"/>
                <w:color w:val="000000"/>
                <w:sz w:val="20"/>
                <w:szCs w:val="20"/>
                <w:lang w:eastAsia="en-GB"/>
              </w:rPr>
              <w:t>Diluted</w:t>
            </w:r>
          </w:p>
        </w:tc>
        <w:tc>
          <w:tcPr>
            <w:tcW w:w="1549" w:type="dxa"/>
            <w:tcBorders>
              <w:top w:val="nil"/>
              <w:left w:val="nil"/>
              <w:bottom w:val="single" w:sz="8" w:space="0" w:color="auto"/>
              <w:right w:val="nil"/>
            </w:tcBorders>
            <w:tcMar>
              <w:top w:w="0" w:type="dxa"/>
              <w:left w:w="108" w:type="dxa"/>
              <w:bottom w:w="0" w:type="dxa"/>
              <w:right w:w="108" w:type="dxa"/>
            </w:tcMar>
            <w:vAlign w:val="center"/>
            <w:hideMark/>
          </w:tcPr>
          <w:p w14:paraId="1505855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p</w:t>
            </w:r>
          </w:p>
          <w:p w14:paraId="0FD9BCAB" w14:textId="77777777" w:rsidR="00AE009D" w:rsidRPr="00AE009D" w:rsidRDefault="00AE009D" w:rsidP="00AE009D">
            <w:pPr>
              <w:jc w:val="right"/>
              <w:rPr>
                <w:rFonts w:ascii="Calibri" w:eastAsia="Times New Roman" w:hAnsi="Calibri" w:cs="Calibri"/>
                <w:b/>
                <w:bCs/>
                <w:lang w:eastAsia="en-GB"/>
              </w:rPr>
            </w:pPr>
            <w:r w:rsidRPr="00AE009D">
              <w:rPr>
                <w:rFonts w:ascii="Arial" w:eastAsia="Times New Roman" w:hAnsi="Arial" w:cs="Arial"/>
                <w:b/>
                <w:bCs/>
                <w:color w:val="000000"/>
                <w:sz w:val="20"/>
                <w:szCs w:val="20"/>
                <w:lang w:eastAsia="en-GB"/>
              </w:rPr>
              <w:t>-</w:t>
            </w:r>
          </w:p>
        </w:tc>
        <w:tc>
          <w:tcPr>
            <w:tcW w:w="1279" w:type="dxa"/>
            <w:tcBorders>
              <w:top w:val="nil"/>
              <w:left w:val="nil"/>
              <w:bottom w:val="single" w:sz="8" w:space="0" w:color="auto"/>
              <w:right w:val="nil"/>
            </w:tcBorders>
            <w:tcMar>
              <w:top w:w="0" w:type="dxa"/>
              <w:left w:w="108" w:type="dxa"/>
              <w:bottom w:w="0" w:type="dxa"/>
              <w:right w:w="108" w:type="dxa"/>
            </w:tcMar>
            <w:vAlign w:val="center"/>
            <w:hideMark/>
          </w:tcPr>
          <w:p w14:paraId="2F279FF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p</w:t>
            </w:r>
          </w:p>
          <w:p w14:paraId="1E30E19C"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0.01</w:t>
            </w:r>
          </w:p>
        </w:tc>
        <w:tc>
          <w:tcPr>
            <w:tcW w:w="1343" w:type="dxa"/>
            <w:tcBorders>
              <w:top w:val="nil"/>
              <w:left w:val="nil"/>
              <w:bottom w:val="single" w:sz="8" w:space="0" w:color="auto"/>
              <w:right w:val="nil"/>
            </w:tcBorders>
            <w:tcMar>
              <w:top w:w="0" w:type="dxa"/>
              <w:left w:w="108" w:type="dxa"/>
              <w:bottom w:w="0" w:type="dxa"/>
              <w:right w:w="108" w:type="dxa"/>
            </w:tcMar>
            <w:vAlign w:val="center"/>
            <w:hideMark/>
          </w:tcPr>
          <w:p w14:paraId="544BE275"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p</w:t>
            </w:r>
          </w:p>
          <w:p w14:paraId="7E3B7299" w14:textId="77777777" w:rsidR="00AE009D" w:rsidRPr="00AE009D" w:rsidRDefault="00AE009D" w:rsidP="00AE009D">
            <w:pPr>
              <w:jc w:val="right"/>
              <w:rPr>
                <w:rFonts w:ascii="Calibri" w:eastAsia="Times New Roman" w:hAnsi="Calibri" w:cs="Calibri"/>
                <w:lang w:eastAsia="en-GB"/>
              </w:rPr>
            </w:pPr>
            <w:r w:rsidRPr="00AE009D">
              <w:rPr>
                <w:rFonts w:ascii="Arial" w:eastAsia="Times New Roman" w:hAnsi="Arial" w:cs="Arial"/>
                <w:color w:val="000000"/>
                <w:sz w:val="20"/>
                <w:szCs w:val="20"/>
                <w:lang w:eastAsia="en-GB"/>
              </w:rPr>
              <w:t>-</w:t>
            </w:r>
          </w:p>
        </w:tc>
      </w:tr>
    </w:tbl>
    <w:p w14:paraId="5B3C602E"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3642AEF6" w14:textId="77777777" w:rsidR="00AE009D" w:rsidRPr="00AE009D" w:rsidRDefault="00AE009D" w:rsidP="00AE009D">
      <w:pPr>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373EDC93" w14:textId="77777777" w:rsidR="00AE009D" w:rsidRPr="00AE009D" w:rsidRDefault="00AE009D" w:rsidP="00AE009D">
      <w:pPr>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No diluted earnings per share is shown where the effect would be anti-dilutive.</w:t>
      </w:r>
    </w:p>
    <w:p w14:paraId="01A0B8A4" w14:textId="77777777" w:rsidR="00AE009D" w:rsidRPr="00AE009D" w:rsidRDefault="00AE009D" w:rsidP="00AE009D">
      <w:pPr>
        <w:jc w:val="right"/>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 </w:t>
      </w:r>
    </w:p>
    <w:p w14:paraId="0DD818C3" w14:textId="77777777" w:rsidR="00AE009D" w:rsidRPr="00AE009D" w:rsidRDefault="00AE009D" w:rsidP="00AE009D">
      <w:pPr>
        <w:ind w:left="-426"/>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363AB8A0" w14:textId="77777777" w:rsidR="00AE009D" w:rsidRPr="00AE009D" w:rsidRDefault="00AE009D" w:rsidP="00AE009D">
      <w:pPr>
        <w:ind w:right="89"/>
        <w:rPr>
          <w:rFonts w:ascii="Calibri" w:eastAsia="Times New Roman" w:hAnsi="Calibri" w:cs="Calibri"/>
          <w:b/>
          <w:bCs/>
          <w:color w:val="000000"/>
          <w:lang w:eastAsia="en-GB"/>
        </w:rPr>
      </w:pPr>
      <w:r w:rsidRPr="00AE009D">
        <w:rPr>
          <w:rFonts w:ascii="Arial" w:eastAsia="Times New Roman" w:hAnsi="Arial" w:cs="Arial"/>
          <w:b/>
          <w:bCs/>
          <w:color w:val="000000"/>
          <w:sz w:val="20"/>
          <w:szCs w:val="20"/>
          <w:lang w:eastAsia="en-GB"/>
        </w:rPr>
        <w:t>4. Segmental Analysis</w:t>
      </w:r>
    </w:p>
    <w:p w14:paraId="05C9918E" w14:textId="77777777" w:rsidR="00AE009D" w:rsidRPr="00AE009D" w:rsidRDefault="00AE009D" w:rsidP="00AE009D">
      <w:pPr>
        <w:ind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13347" w:type="dxa"/>
        <w:tblCellMar>
          <w:left w:w="0" w:type="dxa"/>
          <w:right w:w="0" w:type="dxa"/>
        </w:tblCellMar>
        <w:tblLook w:val="04A0" w:firstRow="1" w:lastRow="0" w:firstColumn="1" w:lastColumn="0" w:noHBand="0" w:noVBand="1"/>
      </w:tblPr>
      <w:tblGrid>
        <w:gridCol w:w="1868"/>
        <w:gridCol w:w="4056"/>
        <w:gridCol w:w="2215"/>
        <w:gridCol w:w="1423"/>
        <w:gridCol w:w="367"/>
        <w:gridCol w:w="533"/>
        <w:gridCol w:w="631"/>
        <w:gridCol w:w="646"/>
        <w:gridCol w:w="762"/>
        <w:gridCol w:w="381"/>
        <w:gridCol w:w="465"/>
      </w:tblGrid>
      <w:tr w:rsidR="00AE009D" w:rsidRPr="00AE009D" w14:paraId="6DB10E5F" w14:textId="77777777" w:rsidTr="00AE009D">
        <w:trPr>
          <w:trHeight w:val="236"/>
        </w:trPr>
        <w:tc>
          <w:tcPr>
            <w:tcW w:w="9882" w:type="dxa"/>
            <w:gridSpan w:val="6"/>
            <w:tcMar>
              <w:top w:w="0" w:type="dxa"/>
              <w:left w:w="108" w:type="dxa"/>
              <w:bottom w:w="0" w:type="dxa"/>
              <w:right w:w="108" w:type="dxa"/>
            </w:tcMar>
            <w:vAlign w:val="center"/>
            <w:hideMark/>
          </w:tcPr>
          <w:p w14:paraId="20E1B208"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The Group has 2 main reportable segments based on the location from which revenue is derived:</w:t>
            </w:r>
          </w:p>
        </w:tc>
        <w:tc>
          <w:tcPr>
            <w:tcW w:w="596" w:type="dxa"/>
            <w:tcMar>
              <w:top w:w="0" w:type="dxa"/>
              <w:left w:w="108" w:type="dxa"/>
              <w:bottom w:w="0" w:type="dxa"/>
              <w:right w:w="108" w:type="dxa"/>
            </w:tcMar>
            <w:vAlign w:val="bottom"/>
            <w:hideMark/>
          </w:tcPr>
          <w:p w14:paraId="0D778E4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3E9A54E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41B7AEE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3EBCD7D6"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31287872" w14:textId="77777777" w:rsidTr="00AE009D">
        <w:trPr>
          <w:trHeight w:val="236"/>
        </w:trPr>
        <w:tc>
          <w:tcPr>
            <w:tcW w:w="9379" w:type="dxa"/>
            <w:gridSpan w:val="5"/>
            <w:tcMar>
              <w:top w:w="0" w:type="dxa"/>
              <w:left w:w="108" w:type="dxa"/>
              <w:bottom w:w="0" w:type="dxa"/>
              <w:right w:w="108" w:type="dxa"/>
            </w:tcMar>
            <w:vAlign w:val="center"/>
            <w:hideMark/>
          </w:tcPr>
          <w:p w14:paraId="3C81465A"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Asia Pacific - This segment includes Hong Kong and Singapore.</w:t>
            </w:r>
          </w:p>
        </w:tc>
        <w:tc>
          <w:tcPr>
            <w:tcW w:w="287" w:type="dxa"/>
            <w:tcMar>
              <w:top w:w="0" w:type="dxa"/>
              <w:left w:w="108" w:type="dxa"/>
              <w:bottom w:w="0" w:type="dxa"/>
              <w:right w:w="108" w:type="dxa"/>
            </w:tcMar>
            <w:vAlign w:val="bottom"/>
            <w:hideMark/>
          </w:tcPr>
          <w:p w14:paraId="4674BDA4"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079C195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0A84F38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297E47A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6C8E7B9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4AC7A8C" w14:textId="77777777" w:rsidTr="00AE009D">
        <w:trPr>
          <w:trHeight w:val="236"/>
        </w:trPr>
        <w:tc>
          <w:tcPr>
            <w:tcW w:w="9379" w:type="dxa"/>
            <w:gridSpan w:val="5"/>
            <w:tcMar>
              <w:top w:w="0" w:type="dxa"/>
              <w:left w:w="108" w:type="dxa"/>
              <w:bottom w:w="0" w:type="dxa"/>
              <w:right w:w="108" w:type="dxa"/>
            </w:tcMar>
            <w:vAlign w:val="center"/>
            <w:hideMark/>
          </w:tcPr>
          <w:p w14:paraId="78A17B90"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UK - The segment includes candidates placed in the UK.</w:t>
            </w:r>
          </w:p>
          <w:p w14:paraId="660E2E75"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w:t>
            </w:r>
          </w:p>
        </w:tc>
        <w:tc>
          <w:tcPr>
            <w:tcW w:w="287" w:type="dxa"/>
            <w:tcMar>
              <w:top w:w="0" w:type="dxa"/>
              <w:left w:w="108" w:type="dxa"/>
              <w:bottom w:w="0" w:type="dxa"/>
              <w:right w:w="108" w:type="dxa"/>
            </w:tcMar>
            <w:vAlign w:val="bottom"/>
            <w:hideMark/>
          </w:tcPr>
          <w:p w14:paraId="4919351D"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671787F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0CC877FC"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01AFC32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4EDFA43C"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5A298EFD" w14:textId="77777777" w:rsidTr="00AE009D">
        <w:trPr>
          <w:trHeight w:val="236"/>
        </w:trPr>
        <w:tc>
          <w:tcPr>
            <w:tcW w:w="5596" w:type="dxa"/>
            <w:gridSpan w:val="2"/>
            <w:tcMar>
              <w:top w:w="0" w:type="dxa"/>
              <w:left w:w="108" w:type="dxa"/>
              <w:bottom w:w="0" w:type="dxa"/>
              <w:right w:w="108" w:type="dxa"/>
            </w:tcMar>
            <w:vAlign w:val="center"/>
            <w:hideMark/>
          </w:tcPr>
          <w:p w14:paraId="17E63B28"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These segments are monitored by the board of directors. </w:t>
            </w:r>
          </w:p>
        </w:tc>
        <w:tc>
          <w:tcPr>
            <w:tcW w:w="1876" w:type="dxa"/>
            <w:tcMar>
              <w:top w:w="0" w:type="dxa"/>
              <w:left w:w="108" w:type="dxa"/>
              <w:bottom w:w="0" w:type="dxa"/>
              <w:right w:w="108" w:type="dxa"/>
            </w:tcMar>
            <w:vAlign w:val="bottom"/>
            <w:hideMark/>
          </w:tcPr>
          <w:p w14:paraId="76782F64"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475" w:type="dxa"/>
            <w:gridSpan w:val="2"/>
            <w:tcMar>
              <w:top w:w="0" w:type="dxa"/>
              <w:left w:w="108" w:type="dxa"/>
              <w:bottom w:w="0" w:type="dxa"/>
              <w:right w:w="108" w:type="dxa"/>
            </w:tcMar>
            <w:vAlign w:val="bottom"/>
            <w:hideMark/>
          </w:tcPr>
          <w:p w14:paraId="7BBF029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69D25C9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46375763"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542049D4"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75BD343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7687FE0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B30160A" w14:textId="77777777" w:rsidTr="00AE009D">
        <w:trPr>
          <w:trHeight w:val="236"/>
        </w:trPr>
        <w:tc>
          <w:tcPr>
            <w:tcW w:w="1765" w:type="dxa"/>
            <w:tcMar>
              <w:top w:w="0" w:type="dxa"/>
              <w:left w:w="108" w:type="dxa"/>
              <w:bottom w:w="0" w:type="dxa"/>
              <w:right w:w="108" w:type="dxa"/>
            </w:tcMar>
            <w:vAlign w:val="center"/>
            <w:hideMark/>
          </w:tcPr>
          <w:p w14:paraId="075F5329" w14:textId="77777777" w:rsidR="00AE009D" w:rsidRPr="00AE009D" w:rsidRDefault="00AE009D" w:rsidP="00AE009D">
            <w:pPr>
              <w:ind w:right="89"/>
              <w:rPr>
                <w:rFonts w:ascii="Calibri" w:eastAsia="Times New Roman" w:hAnsi="Calibri" w:cs="Calibri"/>
                <w:i/>
                <w:iCs/>
                <w:lang w:eastAsia="en-GB"/>
              </w:rPr>
            </w:pPr>
            <w:r w:rsidRPr="00AE009D">
              <w:rPr>
                <w:rFonts w:ascii="Calibri" w:eastAsia="Times New Roman" w:hAnsi="Calibri" w:cs="Calibri"/>
                <w:i/>
                <w:iCs/>
                <w:lang w:eastAsia="en-GB"/>
              </w:rPr>
              <w:t> </w:t>
            </w:r>
          </w:p>
        </w:tc>
        <w:tc>
          <w:tcPr>
            <w:tcW w:w="3615" w:type="dxa"/>
            <w:tcMar>
              <w:top w:w="0" w:type="dxa"/>
              <w:left w:w="108" w:type="dxa"/>
              <w:bottom w:w="0" w:type="dxa"/>
              <w:right w:w="108" w:type="dxa"/>
            </w:tcMar>
            <w:vAlign w:val="bottom"/>
            <w:hideMark/>
          </w:tcPr>
          <w:p w14:paraId="6F05F7CD"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876" w:type="dxa"/>
            <w:tcMar>
              <w:top w:w="0" w:type="dxa"/>
              <w:left w:w="108" w:type="dxa"/>
              <w:bottom w:w="0" w:type="dxa"/>
              <w:right w:w="108" w:type="dxa"/>
            </w:tcMar>
            <w:vAlign w:val="bottom"/>
            <w:hideMark/>
          </w:tcPr>
          <w:p w14:paraId="53005E3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475" w:type="dxa"/>
            <w:gridSpan w:val="2"/>
            <w:tcMar>
              <w:top w:w="0" w:type="dxa"/>
              <w:left w:w="108" w:type="dxa"/>
              <w:bottom w:w="0" w:type="dxa"/>
              <w:right w:w="108" w:type="dxa"/>
            </w:tcMar>
            <w:vAlign w:val="bottom"/>
            <w:hideMark/>
          </w:tcPr>
          <w:p w14:paraId="502C6A9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5301ABD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022A75E2"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31F90E9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3AB2304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60F391E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51BA66D" w14:textId="77777777" w:rsidTr="00AE009D">
        <w:trPr>
          <w:trHeight w:val="236"/>
        </w:trPr>
        <w:tc>
          <w:tcPr>
            <w:tcW w:w="9379" w:type="dxa"/>
            <w:gridSpan w:val="5"/>
            <w:tcMar>
              <w:top w:w="0" w:type="dxa"/>
              <w:left w:w="108" w:type="dxa"/>
              <w:bottom w:w="0" w:type="dxa"/>
              <w:right w:w="108" w:type="dxa"/>
            </w:tcMar>
            <w:vAlign w:val="center"/>
            <w:hideMark/>
          </w:tcPr>
          <w:p w14:paraId="7ECA6B66" w14:textId="77777777" w:rsidR="00AE009D" w:rsidRPr="00AE009D" w:rsidRDefault="00AE009D" w:rsidP="00AE009D">
            <w:pPr>
              <w:ind w:right="89"/>
              <w:rPr>
                <w:rFonts w:ascii="Calibri" w:eastAsia="Times New Roman" w:hAnsi="Calibri" w:cs="Calibri"/>
                <w:b/>
                <w:bCs/>
                <w:lang w:eastAsia="en-GB"/>
              </w:rPr>
            </w:pPr>
            <w:r w:rsidRPr="00AE009D">
              <w:rPr>
                <w:rFonts w:ascii="Arial" w:eastAsia="Times New Roman" w:hAnsi="Arial" w:cs="Arial"/>
                <w:b/>
                <w:bCs/>
                <w:sz w:val="20"/>
                <w:szCs w:val="20"/>
                <w:lang w:eastAsia="en-GB"/>
              </w:rPr>
              <w:t>Factors that management used to identify the Group's reportable segments</w:t>
            </w:r>
          </w:p>
        </w:tc>
        <w:tc>
          <w:tcPr>
            <w:tcW w:w="287" w:type="dxa"/>
            <w:tcMar>
              <w:top w:w="0" w:type="dxa"/>
              <w:left w:w="108" w:type="dxa"/>
              <w:bottom w:w="0" w:type="dxa"/>
              <w:right w:w="108" w:type="dxa"/>
            </w:tcMar>
            <w:vAlign w:val="bottom"/>
            <w:hideMark/>
          </w:tcPr>
          <w:p w14:paraId="36872C4E"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7ABB76BD"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04C718A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6509E9B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485878B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8E23814" w14:textId="77777777" w:rsidTr="00AE009D">
        <w:trPr>
          <w:trHeight w:val="77"/>
        </w:trPr>
        <w:tc>
          <w:tcPr>
            <w:tcW w:w="1765" w:type="dxa"/>
            <w:tcMar>
              <w:top w:w="0" w:type="dxa"/>
              <w:left w:w="108" w:type="dxa"/>
              <w:bottom w:w="0" w:type="dxa"/>
              <w:right w:w="108" w:type="dxa"/>
            </w:tcMar>
            <w:vAlign w:val="center"/>
            <w:hideMark/>
          </w:tcPr>
          <w:p w14:paraId="10CC61F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3615" w:type="dxa"/>
            <w:tcMar>
              <w:top w:w="0" w:type="dxa"/>
              <w:left w:w="108" w:type="dxa"/>
              <w:bottom w:w="0" w:type="dxa"/>
              <w:right w:w="108" w:type="dxa"/>
            </w:tcMar>
            <w:vAlign w:val="bottom"/>
            <w:hideMark/>
          </w:tcPr>
          <w:p w14:paraId="0BD612D3"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c>
          <w:tcPr>
            <w:tcW w:w="1876" w:type="dxa"/>
            <w:tcMar>
              <w:top w:w="0" w:type="dxa"/>
              <w:left w:w="108" w:type="dxa"/>
              <w:bottom w:w="0" w:type="dxa"/>
              <w:right w:w="108" w:type="dxa"/>
            </w:tcMar>
            <w:vAlign w:val="bottom"/>
            <w:hideMark/>
          </w:tcPr>
          <w:p w14:paraId="2E9CEBF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475" w:type="dxa"/>
            <w:gridSpan w:val="2"/>
            <w:tcMar>
              <w:top w:w="0" w:type="dxa"/>
              <w:left w:w="108" w:type="dxa"/>
              <w:bottom w:w="0" w:type="dxa"/>
              <w:right w:w="108" w:type="dxa"/>
            </w:tcMar>
            <w:vAlign w:val="bottom"/>
            <w:hideMark/>
          </w:tcPr>
          <w:p w14:paraId="5514345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032A06B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7E506B06"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6E26CF7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61F337E4"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459" w:type="dxa"/>
            <w:gridSpan w:val="2"/>
            <w:tcMar>
              <w:top w:w="0" w:type="dxa"/>
              <w:left w:w="108" w:type="dxa"/>
              <w:bottom w:w="0" w:type="dxa"/>
              <w:right w:w="108" w:type="dxa"/>
            </w:tcMar>
            <w:vAlign w:val="bottom"/>
            <w:hideMark/>
          </w:tcPr>
          <w:p w14:paraId="4AB4104D"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DEFA970" w14:textId="77777777" w:rsidTr="00AE009D">
        <w:trPr>
          <w:trHeight w:val="513"/>
        </w:trPr>
        <w:tc>
          <w:tcPr>
            <w:tcW w:w="9032" w:type="dxa"/>
            <w:gridSpan w:val="4"/>
            <w:tcMar>
              <w:top w:w="0" w:type="dxa"/>
              <w:left w:w="108" w:type="dxa"/>
              <w:bottom w:w="0" w:type="dxa"/>
              <w:right w:w="108" w:type="dxa"/>
            </w:tcMar>
            <w:vAlign w:val="center"/>
            <w:hideMark/>
          </w:tcPr>
          <w:p w14:paraId="198E5CDE" w14:textId="77777777" w:rsidR="00AE009D" w:rsidRPr="00AE009D" w:rsidRDefault="00AE009D" w:rsidP="00AE009D">
            <w:pPr>
              <w:ind w:right="89"/>
              <w:jc w:val="both"/>
              <w:rPr>
                <w:rFonts w:ascii="Calibri" w:eastAsia="Times New Roman" w:hAnsi="Calibri" w:cs="Calibri"/>
                <w:lang w:eastAsia="en-GB"/>
              </w:rPr>
            </w:pPr>
            <w:r w:rsidRPr="00AE009D">
              <w:rPr>
                <w:rFonts w:ascii="Arial" w:eastAsia="Times New Roman" w:hAnsi="Arial" w:cs="Arial"/>
                <w:sz w:val="20"/>
                <w:szCs w:val="20"/>
                <w:lang w:eastAsia="en-GB"/>
              </w:rPr>
              <w:t>The Group's reportable segments are strategic business units that, although supplying very similar service offering, operate in distinct markets and are therefore managed on a day to day basis by separate teams. </w:t>
            </w:r>
          </w:p>
          <w:p w14:paraId="058D5F08" w14:textId="77777777" w:rsidR="00AE009D" w:rsidRPr="00AE009D" w:rsidRDefault="00AE009D" w:rsidP="00AE009D">
            <w:pPr>
              <w:ind w:right="89"/>
              <w:jc w:val="both"/>
              <w:rPr>
                <w:rFonts w:ascii="Calibri" w:eastAsia="Times New Roman" w:hAnsi="Calibri" w:cs="Calibri"/>
                <w:lang w:eastAsia="en-GB"/>
              </w:rPr>
            </w:pPr>
            <w:r w:rsidRPr="00AE009D">
              <w:rPr>
                <w:rFonts w:ascii="Arial" w:eastAsia="Times New Roman" w:hAnsi="Arial" w:cs="Arial"/>
                <w:sz w:val="20"/>
                <w:szCs w:val="20"/>
                <w:lang w:eastAsia="en-GB"/>
              </w:rPr>
              <w:t> </w:t>
            </w:r>
          </w:p>
        </w:tc>
        <w:tc>
          <w:tcPr>
            <w:tcW w:w="0" w:type="auto"/>
            <w:gridSpan w:val="7"/>
            <w:tcBorders>
              <w:top w:val="nil"/>
              <w:left w:val="nil"/>
              <w:bottom w:val="nil"/>
              <w:right w:val="nil"/>
            </w:tcBorders>
            <w:vAlign w:val="center"/>
            <w:hideMark/>
          </w:tcPr>
          <w:p w14:paraId="1B837A18"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D270C92" w14:textId="77777777" w:rsidTr="00AE009D">
        <w:trPr>
          <w:trHeight w:val="236"/>
        </w:trPr>
        <w:tc>
          <w:tcPr>
            <w:tcW w:w="1765" w:type="dxa"/>
            <w:tcMar>
              <w:top w:w="0" w:type="dxa"/>
              <w:left w:w="108" w:type="dxa"/>
              <w:bottom w:w="0" w:type="dxa"/>
              <w:right w:w="108" w:type="dxa"/>
            </w:tcMar>
            <w:vAlign w:val="center"/>
            <w:hideMark/>
          </w:tcPr>
          <w:p w14:paraId="0E43E27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3615" w:type="dxa"/>
            <w:tcMar>
              <w:top w:w="0" w:type="dxa"/>
              <w:left w:w="108" w:type="dxa"/>
              <w:bottom w:w="0" w:type="dxa"/>
              <w:right w:w="108" w:type="dxa"/>
            </w:tcMar>
            <w:vAlign w:val="bottom"/>
            <w:hideMark/>
          </w:tcPr>
          <w:p w14:paraId="5D52B7B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876" w:type="dxa"/>
            <w:tcMar>
              <w:top w:w="0" w:type="dxa"/>
              <w:left w:w="108" w:type="dxa"/>
              <w:bottom w:w="0" w:type="dxa"/>
              <w:right w:w="108" w:type="dxa"/>
            </w:tcMar>
            <w:vAlign w:val="bottom"/>
            <w:hideMark/>
          </w:tcPr>
          <w:p w14:paraId="495F60FE"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475" w:type="dxa"/>
            <w:gridSpan w:val="2"/>
            <w:tcMar>
              <w:top w:w="0" w:type="dxa"/>
              <w:left w:w="108" w:type="dxa"/>
              <w:bottom w:w="0" w:type="dxa"/>
              <w:right w:w="108" w:type="dxa"/>
            </w:tcMar>
            <w:vAlign w:val="bottom"/>
            <w:hideMark/>
          </w:tcPr>
          <w:p w14:paraId="6B18C4DD"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30455543"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6EE4B24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5698E7F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430817B2"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2881D22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0" w:type="auto"/>
            <w:tcBorders>
              <w:top w:val="nil"/>
              <w:left w:val="nil"/>
              <w:bottom w:val="nil"/>
              <w:right w:val="nil"/>
            </w:tcBorders>
            <w:vAlign w:val="center"/>
            <w:hideMark/>
          </w:tcPr>
          <w:p w14:paraId="17679E0D"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F393CE0" w14:textId="77777777" w:rsidTr="00AE009D">
        <w:trPr>
          <w:trHeight w:val="236"/>
        </w:trPr>
        <w:tc>
          <w:tcPr>
            <w:tcW w:w="7688" w:type="dxa"/>
            <w:gridSpan w:val="3"/>
            <w:tcMar>
              <w:top w:w="0" w:type="dxa"/>
              <w:left w:w="108" w:type="dxa"/>
              <w:bottom w:w="0" w:type="dxa"/>
              <w:right w:w="108" w:type="dxa"/>
            </w:tcMar>
            <w:vAlign w:val="center"/>
            <w:hideMark/>
          </w:tcPr>
          <w:p w14:paraId="5E1A318D" w14:textId="77777777" w:rsidR="00AE009D" w:rsidRPr="00AE009D" w:rsidRDefault="00AE009D" w:rsidP="00AE009D">
            <w:pPr>
              <w:ind w:right="89"/>
              <w:rPr>
                <w:rFonts w:ascii="Calibri" w:eastAsia="Times New Roman" w:hAnsi="Calibri" w:cs="Calibri"/>
                <w:b/>
                <w:bCs/>
                <w:lang w:eastAsia="en-GB"/>
              </w:rPr>
            </w:pPr>
            <w:r w:rsidRPr="00AE009D">
              <w:rPr>
                <w:rFonts w:ascii="Arial" w:eastAsia="Times New Roman" w:hAnsi="Arial" w:cs="Arial"/>
                <w:b/>
                <w:bCs/>
                <w:sz w:val="20"/>
                <w:szCs w:val="20"/>
                <w:lang w:eastAsia="en-GB"/>
              </w:rPr>
              <w:t>Measurement of operating segment profit or loss, assets and liabilities</w:t>
            </w:r>
          </w:p>
        </w:tc>
        <w:tc>
          <w:tcPr>
            <w:tcW w:w="1475" w:type="dxa"/>
            <w:gridSpan w:val="2"/>
            <w:tcMar>
              <w:top w:w="0" w:type="dxa"/>
              <w:left w:w="108" w:type="dxa"/>
              <w:bottom w:w="0" w:type="dxa"/>
              <w:right w:w="108" w:type="dxa"/>
            </w:tcMar>
            <w:vAlign w:val="bottom"/>
            <w:hideMark/>
          </w:tcPr>
          <w:p w14:paraId="2DEBD972"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4C01C17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7A68681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126D52F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0714415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2F1C8E1D"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0" w:type="auto"/>
            <w:tcBorders>
              <w:top w:val="nil"/>
              <w:left w:val="nil"/>
              <w:bottom w:val="nil"/>
              <w:right w:val="nil"/>
            </w:tcBorders>
            <w:vAlign w:val="center"/>
            <w:hideMark/>
          </w:tcPr>
          <w:p w14:paraId="7584B5A4"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436FBE5" w14:textId="77777777" w:rsidTr="00AE009D">
        <w:trPr>
          <w:trHeight w:val="236"/>
        </w:trPr>
        <w:tc>
          <w:tcPr>
            <w:tcW w:w="1765" w:type="dxa"/>
            <w:tcMar>
              <w:top w:w="0" w:type="dxa"/>
              <w:left w:w="108" w:type="dxa"/>
              <w:bottom w:w="0" w:type="dxa"/>
              <w:right w:w="108" w:type="dxa"/>
            </w:tcMar>
            <w:vAlign w:val="center"/>
            <w:hideMark/>
          </w:tcPr>
          <w:p w14:paraId="51E1579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3615" w:type="dxa"/>
            <w:tcMar>
              <w:top w:w="0" w:type="dxa"/>
              <w:left w:w="108" w:type="dxa"/>
              <w:bottom w:w="0" w:type="dxa"/>
              <w:right w:w="108" w:type="dxa"/>
            </w:tcMar>
            <w:vAlign w:val="bottom"/>
            <w:hideMark/>
          </w:tcPr>
          <w:p w14:paraId="4CE9D2DC"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876" w:type="dxa"/>
            <w:tcMar>
              <w:top w:w="0" w:type="dxa"/>
              <w:left w:w="108" w:type="dxa"/>
              <w:bottom w:w="0" w:type="dxa"/>
              <w:right w:w="108" w:type="dxa"/>
            </w:tcMar>
            <w:vAlign w:val="bottom"/>
            <w:hideMark/>
          </w:tcPr>
          <w:p w14:paraId="414B12B2"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475" w:type="dxa"/>
            <w:gridSpan w:val="2"/>
            <w:tcMar>
              <w:top w:w="0" w:type="dxa"/>
              <w:left w:w="108" w:type="dxa"/>
              <w:bottom w:w="0" w:type="dxa"/>
              <w:right w:w="108" w:type="dxa"/>
            </w:tcMar>
            <w:vAlign w:val="bottom"/>
            <w:hideMark/>
          </w:tcPr>
          <w:p w14:paraId="7819092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87" w:type="dxa"/>
            <w:tcMar>
              <w:top w:w="0" w:type="dxa"/>
              <w:left w:w="108" w:type="dxa"/>
              <w:bottom w:w="0" w:type="dxa"/>
              <w:right w:w="108" w:type="dxa"/>
            </w:tcMar>
            <w:vAlign w:val="bottom"/>
            <w:hideMark/>
          </w:tcPr>
          <w:p w14:paraId="7381433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596" w:type="dxa"/>
            <w:tcMar>
              <w:top w:w="0" w:type="dxa"/>
              <w:left w:w="108" w:type="dxa"/>
              <w:bottom w:w="0" w:type="dxa"/>
              <w:right w:w="108" w:type="dxa"/>
            </w:tcMar>
            <w:vAlign w:val="bottom"/>
            <w:hideMark/>
          </w:tcPr>
          <w:p w14:paraId="40FC35E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610" w:type="dxa"/>
            <w:tcMar>
              <w:top w:w="0" w:type="dxa"/>
              <w:left w:w="108" w:type="dxa"/>
              <w:bottom w:w="0" w:type="dxa"/>
              <w:right w:w="108" w:type="dxa"/>
            </w:tcMar>
            <w:vAlign w:val="bottom"/>
            <w:hideMark/>
          </w:tcPr>
          <w:p w14:paraId="26ABA253"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720" w:type="dxa"/>
            <w:tcMar>
              <w:top w:w="0" w:type="dxa"/>
              <w:left w:w="108" w:type="dxa"/>
              <w:bottom w:w="0" w:type="dxa"/>
              <w:right w:w="108" w:type="dxa"/>
            </w:tcMar>
            <w:vAlign w:val="bottom"/>
            <w:hideMark/>
          </w:tcPr>
          <w:p w14:paraId="217F1CB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20" w:type="dxa"/>
            <w:tcMar>
              <w:top w:w="0" w:type="dxa"/>
              <w:left w:w="108" w:type="dxa"/>
              <w:bottom w:w="0" w:type="dxa"/>
              <w:right w:w="108" w:type="dxa"/>
            </w:tcMar>
            <w:vAlign w:val="bottom"/>
            <w:hideMark/>
          </w:tcPr>
          <w:p w14:paraId="247DC57E"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0" w:type="auto"/>
            <w:tcBorders>
              <w:top w:val="nil"/>
              <w:left w:val="nil"/>
              <w:bottom w:val="nil"/>
              <w:right w:val="nil"/>
            </w:tcBorders>
            <w:vAlign w:val="center"/>
            <w:hideMark/>
          </w:tcPr>
          <w:p w14:paraId="080E35EA"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118BDD93" w14:textId="77777777" w:rsidTr="00AE009D">
        <w:trPr>
          <w:trHeight w:val="582"/>
        </w:trPr>
        <w:tc>
          <w:tcPr>
            <w:tcW w:w="9032" w:type="dxa"/>
            <w:gridSpan w:val="4"/>
            <w:tcMar>
              <w:top w:w="0" w:type="dxa"/>
              <w:left w:w="108" w:type="dxa"/>
              <w:bottom w:w="0" w:type="dxa"/>
              <w:right w:w="108" w:type="dxa"/>
            </w:tcMar>
            <w:vAlign w:val="center"/>
            <w:hideMark/>
          </w:tcPr>
          <w:p w14:paraId="6C6A4845"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The Group evaluates performance on the basis of profit or loss from operations before tax, head office costs and amortisation.</w:t>
            </w:r>
          </w:p>
          <w:p w14:paraId="4463753A"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w:t>
            </w:r>
          </w:p>
        </w:tc>
        <w:tc>
          <w:tcPr>
            <w:tcW w:w="0" w:type="auto"/>
            <w:gridSpan w:val="7"/>
            <w:tcBorders>
              <w:top w:val="nil"/>
              <w:left w:val="nil"/>
              <w:bottom w:val="nil"/>
              <w:right w:val="nil"/>
            </w:tcBorders>
            <w:vAlign w:val="center"/>
            <w:hideMark/>
          </w:tcPr>
          <w:p w14:paraId="36951D25" w14:textId="77777777" w:rsidR="00AE009D" w:rsidRPr="00AE009D" w:rsidRDefault="00AE009D" w:rsidP="00AE009D">
            <w:pPr>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15AC38F" w14:textId="77777777" w:rsidTr="00AE009D">
        <w:tc>
          <w:tcPr>
            <w:tcW w:w="0" w:type="auto"/>
            <w:tcBorders>
              <w:top w:val="nil"/>
              <w:left w:val="nil"/>
              <w:bottom w:val="nil"/>
              <w:right w:val="nil"/>
            </w:tcBorders>
            <w:vAlign w:val="center"/>
            <w:hideMark/>
          </w:tcPr>
          <w:p w14:paraId="3DC00EAB"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BFF8DCA"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65EF45CA"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27553432"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AC02587"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086C6AD6"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424B4F76"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5E3432CA"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138D4FD2"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2F3BD600"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c>
          <w:tcPr>
            <w:tcW w:w="0" w:type="auto"/>
            <w:tcBorders>
              <w:top w:val="nil"/>
              <w:left w:val="nil"/>
              <w:bottom w:val="nil"/>
              <w:right w:val="nil"/>
            </w:tcBorders>
            <w:vAlign w:val="center"/>
            <w:hideMark/>
          </w:tcPr>
          <w:p w14:paraId="258D8602" w14:textId="77777777" w:rsidR="00AE009D" w:rsidRPr="00AE009D" w:rsidRDefault="00AE009D" w:rsidP="00AE009D">
            <w:pPr>
              <w:rPr>
                <w:rFonts w:ascii="Times New Roman" w:eastAsia="Times New Roman" w:hAnsi="Times New Roman" w:cs="Times New Roman"/>
                <w:lang w:eastAsia="en-GB"/>
              </w:rPr>
            </w:pPr>
            <w:r w:rsidRPr="00AE009D">
              <w:rPr>
                <w:rFonts w:ascii="Times New Roman" w:eastAsia="Times New Roman" w:hAnsi="Times New Roman" w:cs="Times New Roman"/>
                <w:lang w:eastAsia="en-GB"/>
              </w:rPr>
              <w:t> </w:t>
            </w:r>
          </w:p>
        </w:tc>
      </w:tr>
    </w:tbl>
    <w:p w14:paraId="520D0DB4" w14:textId="77777777" w:rsidR="00AE009D" w:rsidRPr="00AE009D" w:rsidRDefault="00AE009D" w:rsidP="00AE009D">
      <w:pPr>
        <w:ind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The Board does not review assets and liabilities by segment.</w:t>
      </w:r>
    </w:p>
    <w:p w14:paraId="59D39A8A" w14:textId="77777777" w:rsidR="00AE009D" w:rsidRPr="00AE009D" w:rsidRDefault="00AE009D" w:rsidP="00AE009D">
      <w:pPr>
        <w:ind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25DC8C68" w14:textId="77777777" w:rsidR="00AE009D" w:rsidRPr="00AE009D" w:rsidRDefault="00AE009D" w:rsidP="00AE009D">
      <w:pPr>
        <w:ind w:left="-426"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tbl>
      <w:tblPr>
        <w:tblW w:w="8755" w:type="dxa"/>
        <w:tblCellMar>
          <w:left w:w="0" w:type="dxa"/>
          <w:right w:w="0" w:type="dxa"/>
        </w:tblCellMar>
        <w:tblLook w:val="04A0" w:firstRow="1" w:lastRow="0" w:firstColumn="1" w:lastColumn="0" w:noHBand="0" w:noVBand="1"/>
      </w:tblPr>
      <w:tblGrid>
        <w:gridCol w:w="4359"/>
        <w:gridCol w:w="1416"/>
        <w:gridCol w:w="1490"/>
        <w:gridCol w:w="1490"/>
      </w:tblGrid>
      <w:tr w:rsidR="00AE009D" w:rsidRPr="00AE009D" w14:paraId="068E0783" w14:textId="77777777" w:rsidTr="00AE009D">
        <w:trPr>
          <w:trHeight w:val="265"/>
        </w:trPr>
        <w:tc>
          <w:tcPr>
            <w:tcW w:w="3929" w:type="dxa"/>
            <w:tcMar>
              <w:top w:w="0" w:type="dxa"/>
              <w:left w:w="108" w:type="dxa"/>
              <w:bottom w:w="0" w:type="dxa"/>
              <w:right w:w="108" w:type="dxa"/>
            </w:tcMar>
            <w:vAlign w:val="center"/>
            <w:hideMark/>
          </w:tcPr>
          <w:p w14:paraId="19033751" w14:textId="77777777" w:rsidR="00AE009D" w:rsidRPr="00AE009D" w:rsidRDefault="00AE009D" w:rsidP="00AE009D">
            <w:pPr>
              <w:ind w:right="89"/>
              <w:jc w:val="center"/>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276" w:type="dxa"/>
            <w:tcMar>
              <w:top w:w="0" w:type="dxa"/>
              <w:left w:w="108" w:type="dxa"/>
              <w:bottom w:w="0" w:type="dxa"/>
              <w:right w:w="108" w:type="dxa"/>
            </w:tcMar>
            <w:vAlign w:val="bottom"/>
            <w:hideMark/>
          </w:tcPr>
          <w:p w14:paraId="2B6DE77C"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Asia Pacific</w:t>
            </w:r>
          </w:p>
        </w:tc>
        <w:tc>
          <w:tcPr>
            <w:tcW w:w="1343" w:type="dxa"/>
            <w:tcMar>
              <w:top w:w="0" w:type="dxa"/>
              <w:left w:w="108" w:type="dxa"/>
              <w:bottom w:w="0" w:type="dxa"/>
              <w:right w:w="108" w:type="dxa"/>
            </w:tcMar>
            <w:vAlign w:val="bottom"/>
            <w:hideMark/>
          </w:tcPr>
          <w:p w14:paraId="32563758"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UK</w:t>
            </w:r>
          </w:p>
        </w:tc>
        <w:tc>
          <w:tcPr>
            <w:tcW w:w="1343" w:type="dxa"/>
            <w:tcMar>
              <w:top w:w="0" w:type="dxa"/>
              <w:left w:w="108" w:type="dxa"/>
              <w:bottom w:w="0" w:type="dxa"/>
              <w:right w:w="108" w:type="dxa"/>
            </w:tcMar>
            <w:vAlign w:val="bottom"/>
            <w:hideMark/>
          </w:tcPr>
          <w:p w14:paraId="309606C2"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Total</w:t>
            </w:r>
          </w:p>
        </w:tc>
      </w:tr>
      <w:tr w:rsidR="00AE009D" w:rsidRPr="00AE009D" w14:paraId="420B1459" w14:textId="77777777" w:rsidTr="00AE009D">
        <w:trPr>
          <w:trHeight w:val="265"/>
        </w:trPr>
        <w:tc>
          <w:tcPr>
            <w:tcW w:w="3929" w:type="dxa"/>
            <w:tcMar>
              <w:top w:w="0" w:type="dxa"/>
              <w:left w:w="108" w:type="dxa"/>
              <w:bottom w:w="0" w:type="dxa"/>
              <w:right w:w="108" w:type="dxa"/>
            </w:tcMar>
            <w:vAlign w:val="center"/>
            <w:hideMark/>
          </w:tcPr>
          <w:p w14:paraId="11C2E79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7D3A30E9"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30 Sep 2020</w:t>
            </w:r>
          </w:p>
        </w:tc>
        <w:tc>
          <w:tcPr>
            <w:tcW w:w="1343" w:type="dxa"/>
            <w:tcMar>
              <w:top w:w="0" w:type="dxa"/>
              <w:left w:w="108" w:type="dxa"/>
              <w:bottom w:w="0" w:type="dxa"/>
              <w:right w:w="108" w:type="dxa"/>
            </w:tcMar>
            <w:vAlign w:val="center"/>
            <w:hideMark/>
          </w:tcPr>
          <w:p w14:paraId="3C73644A"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30 Sep 2020</w:t>
            </w:r>
          </w:p>
        </w:tc>
        <w:tc>
          <w:tcPr>
            <w:tcW w:w="1343" w:type="dxa"/>
            <w:tcMar>
              <w:top w:w="0" w:type="dxa"/>
              <w:left w:w="108" w:type="dxa"/>
              <w:bottom w:w="0" w:type="dxa"/>
              <w:right w:w="108" w:type="dxa"/>
            </w:tcMar>
            <w:vAlign w:val="bottom"/>
            <w:hideMark/>
          </w:tcPr>
          <w:p w14:paraId="31DB3849"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30 Sep 2020</w:t>
            </w:r>
          </w:p>
        </w:tc>
      </w:tr>
      <w:tr w:rsidR="00AE009D" w:rsidRPr="00AE009D" w14:paraId="02BB74AD" w14:textId="77777777" w:rsidTr="00AE009D">
        <w:trPr>
          <w:trHeight w:val="265"/>
        </w:trPr>
        <w:tc>
          <w:tcPr>
            <w:tcW w:w="3929" w:type="dxa"/>
            <w:tcMar>
              <w:top w:w="0" w:type="dxa"/>
              <w:left w:w="108" w:type="dxa"/>
              <w:bottom w:w="0" w:type="dxa"/>
              <w:right w:w="108" w:type="dxa"/>
            </w:tcMar>
            <w:vAlign w:val="center"/>
            <w:hideMark/>
          </w:tcPr>
          <w:p w14:paraId="3E186D47"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4A25198E"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£'000</w:t>
            </w:r>
          </w:p>
        </w:tc>
        <w:tc>
          <w:tcPr>
            <w:tcW w:w="1343" w:type="dxa"/>
            <w:tcMar>
              <w:top w:w="0" w:type="dxa"/>
              <w:left w:w="108" w:type="dxa"/>
              <w:bottom w:w="0" w:type="dxa"/>
              <w:right w:w="108" w:type="dxa"/>
            </w:tcMar>
            <w:vAlign w:val="center"/>
            <w:hideMark/>
          </w:tcPr>
          <w:p w14:paraId="0C52317C"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£'000</w:t>
            </w:r>
          </w:p>
        </w:tc>
        <w:tc>
          <w:tcPr>
            <w:tcW w:w="1343" w:type="dxa"/>
            <w:tcMar>
              <w:top w:w="0" w:type="dxa"/>
              <w:left w:w="108" w:type="dxa"/>
              <w:bottom w:w="0" w:type="dxa"/>
              <w:right w:w="108" w:type="dxa"/>
            </w:tcMar>
            <w:vAlign w:val="center"/>
            <w:hideMark/>
          </w:tcPr>
          <w:p w14:paraId="48410DCE"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£'000</w:t>
            </w:r>
          </w:p>
        </w:tc>
      </w:tr>
      <w:tr w:rsidR="00AE009D" w:rsidRPr="00AE009D" w14:paraId="4B60AEDB" w14:textId="77777777" w:rsidTr="00AE009D">
        <w:trPr>
          <w:trHeight w:val="265"/>
        </w:trPr>
        <w:tc>
          <w:tcPr>
            <w:tcW w:w="3929" w:type="dxa"/>
            <w:tcMar>
              <w:top w:w="0" w:type="dxa"/>
              <w:left w:w="108" w:type="dxa"/>
              <w:bottom w:w="0" w:type="dxa"/>
              <w:right w:w="108" w:type="dxa"/>
            </w:tcMar>
            <w:vAlign w:val="center"/>
            <w:hideMark/>
          </w:tcPr>
          <w:p w14:paraId="6C77C65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4A011256" w14:textId="77777777" w:rsidR="00AE009D" w:rsidRPr="00AE009D" w:rsidRDefault="00AE009D" w:rsidP="00AE009D">
            <w:pPr>
              <w:ind w:right="89"/>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vAlign w:val="center"/>
            <w:hideMark/>
          </w:tcPr>
          <w:p w14:paraId="26293B18" w14:textId="77777777" w:rsidR="00AE009D" w:rsidRPr="00AE009D" w:rsidRDefault="00AE009D" w:rsidP="00AE009D">
            <w:pPr>
              <w:ind w:right="89"/>
              <w:jc w:val="right"/>
              <w:rPr>
                <w:rFonts w:ascii="Calibri" w:eastAsia="Times New Roman" w:hAnsi="Calibri" w:cs="Calibri"/>
                <w:b/>
                <w:bCs/>
                <w:lang w:eastAsia="en-GB"/>
              </w:rPr>
            </w:pPr>
            <w:r w:rsidRPr="00AE009D">
              <w:rPr>
                <w:rFonts w:ascii="Calibri" w:eastAsia="Times New Roman" w:hAnsi="Calibri" w:cs="Calibri"/>
                <w:b/>
                <w:bCs/>
                <w:lang w:eastAsia="en-GB"/>
              </w:rPr>
              <w:t> </w:t>
            </w:r>
          </w:p>
        </w:tc>
        <w:tc>
          <w:tcPr>
            <w:tcW w:w="1343" w:type="dxa"/>
            <w:tcMar>
              <w:top w:w="0" w:type="dxa"/>
              <w:left w:w="108" w:type="dxa"/>
              <w:bottom w:w="0" w:type="dxa"/>
              <w:right w:w="108" w:type="dxa"/>
            </w:tcMar>
            <w:vAlign w:val="bottom"/>
            <w:hideMark/>
          </w:tcPr>
          <w:p w14:paraId="16CCD6FF" w14:textId="77777777" w:rsidR="00AE009D" w:rsidRPr="00AE009D" w:rsidRDefault="00AE009D" w:rsidP="00AE009D">
            <w:pPr>
              <w:ind w:right="89"/>
              <w:jc w:val="right"/>
              <w:rPr>
                <w:rFonts w:ascii="Calibri" w:eastAsia="Times New Roman" w:hAnsi="Calibri" w:cs="Calibri"/>
                <w:b/>
                <w:bCs/>
                <w:lang w:eastAsia="en-GB"/>
              </w:rPr>
            </w:pPr>
            <w:r w:rsidRPr="00AE009D">
              <w:rPr>
                <w:rFonts w:ascii="Calibri" w:eastAsia="Times New Roman" w:hAnsi="Calibri" w:cs="Calibri"/>
                <w:b/>
                <w:bCs/>
                <w:lang w:eastAsia="en-GB"/>
              </w:rPr>
              <w:t> </w:t>
            </w:r>
          </w:p>
        </w:tc>
      </w:tr>
      <w:tr w:rsidR="00AE009D" w:rsidRPr="00AE009D" w14:paraId="35F6696F" w14:textId="77777777" w:rsidTr="00AE009D">
        <w:trPr>
          <w:trHeight w:val="70"/>
        </w:trPr>
        <w:tc>
          <w:tcPr>
            <w:tcW w:w="3929" w:type="dxa"/>
            <w:tcMar>
              <w:top w:w="0" w:type="dxa"/>
              <w:left w:w="108" w:type="dxa"/>
              <w:bottom w:w="0" w:type="dxa"/>
              <w:right w:w="108" w:type="dxa"/>
            </w:tcMar>
            <w:vAlign w:val="center"/>
            <w:hideMark/>
          </w:tcPr>
          <w:p w14:paraId="5720E691"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Revenue from external customers</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243A2ECE"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415</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67225E6A"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2,724</w:t>
            </w:r>
          </w:p>
        </w:tc>
        <w:tc>
          <w:tcPr>
            <w:tcW w:w="1343" w:type="dxa"/>
            <w:tcMar>
              <w:top w:w="0" w:type="dxa"/>
              <w:left w:w="108" w:type="dxa"/>
              <w:bottom w:w="0" w:type="dxa"/>
              <w:right w:w="108" w:type="dxa"/>
            </w:tcMar>
            <w:vAlign w:val="bottom"/>
            <w:hideMark/>
          </w:tcPr>
          <w:p w14:paraId="2C8CF096"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3,139</w:t>
            </w:r>
          </w:p>
        </w:tc>
      </w:tr>
      <w:tr w:rsidR="00AE009D" w:rsidRPr="00AE009D" w14:paraId="0CC0F6FE" w14:textId="77777777" w:rsidTr="00AE009D">
        <w:trPr>
          <w:trHeight w:val="626"/>
        </w:trPr>
        <w:tc>
          <w:tcPr>
            <w:tcW w:w="3929" w:type="dxa"/>
            <w:tcMar>
              <w:top w:w="0" w:type="dxa"/>
              <w:left w:w="108" w:type="dxa"/>
              <w:bottom w:w="0" w:type="dxa"/>
              <w:right w:w="108" w:type="dxa"/>
            </w:tcMar>
            <w:vAlign w:val="center"/>
            <w:hideMark/>
          </w:tcPr>
          <w:p w14:paraId="493790FA"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w:t>
            </w:r>
          </w:p>
          <w:p w14:paraId="73C1B5DC"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Segment loss before tax</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696AC077"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(211)</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3F6685B3"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112</w:t>
            </w:r>
          </w:p>
        </w:tc>
        <w:tc>
          <w:tcPr>
            <w:tcW w:w="1343"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5B23F027" w14:textId="77777777" w:rsidR="00AE009D" w:rsidRPr="00AE009D" w:rsidRDefault="00AE009D" w:rsidP="00AE009D">
            <w:pPr>
              <w:ind w:right="89"/>
              <w:jc w:val="right"/>
              <w:rPr>
                <w:rFonts w:ascii="Calibri" w:eastAsia="Times New Roman" w:hAnsi="Calibri" w:cs="Calibri"/>
                <w:b/>
                <w:bCs/>
                <w:lang w:eastAsia="en-GB"/>
              </w:rPr>
            </w:pPr>
            <w:r w:rsidRPr="00AE009D">
              <w:rPr>
                <w:rFonts w:ascii="Arial" w:eastAsia="Times New Roman" w:hAnsi="Arial" w:cs="Arial"/>
                <w:b/>
                <w:bCs/>
                <w:sz w:val="20"/>
                <w:szCs w:val="20"/>
                <w:lang w:eastAsia="en-GB"/>
              </w:rPr>
              <w:t>(99)</w:t>
            </w:r>
          </w:p>
        </w:tc>
      </w:tr>
      <w:tr w:rsidR="00AE009D" w:rsidRPr="00AE009D" w14:paraId="211BD6A9" w14:textId="77777777" w:rsidTr="00AE009D">
        <w:trPr>
          <w:trHeight w:val="265"/>
        </w:trPr>
        <w:tc>
          <w:tcPr>
            <w:tcW w:w="3929" w:type="dxa"/>
            <w:tcMar>
              <w:top w:w="0" w:type="dxa"/>
              <w:left w:w="108" w:type="dxa"/>
              <w:bottom w:w="0" w:type="dxa"/>
              <w:right w:w="108" w:type="dxa"/>
            </w:tcMar>
            <w:vAlign w:val="center"/>
            <w:hideMark/>
          </w:tcPr>
          <w:p w14:paraId="61D0142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lastRenderedPageBreak/>
              <w:t> </w:t>
            </w:r>
          </w:p>
        </w:tc>
        <w:tc>
          <w:tcPr>
            <w:tcW w:w="1276" w:type="dxa"/>
            <w:tcMar>
              <w:top w:w="0" w:type="dxa"/>
              <w:left w:w="108" w:type="dxa"/>
              <w:bottom w:w="0" w:type="dxa"/>
              <w:right w:w="108" w:type="dxa"/>
            </w:tcMar>
            <w:vAlign w:val="center"/>
            <w:hideMark/>
          </w:tcPr>
          <w:p w14:paraId="06A34BD5"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41A0EE6A"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55E72FA6"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2DA13D61" w14:textId="77777777" w:rsidTr="00AE009D">
        <w:trPr>
          <w:trHeight w:val="265"/>
        </w:trPr>
        <w:tc>
          <w:tcPr>
            <w:tcW w:w="3929" w:type="dxa"/>
            <w:tcMar>
              <w:top w:w="0" w:type="dxa"/>
              <w:left w:w="108" w:type="dxa"/>
              <w:bottom w:w="0" w:type="dxa"/>
              <w:right w:w="108" w:type="dxa"/>
            </w:tcMar>
            <w:vAlign w:val="center"/>
            <w:hideMark/>
          </w:tcPr>
          <w:p w14:paraId="4406E5B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57A6780A"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2857EF13"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507B84C4"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0835B5CC" w14:textId="77777777" w:rsidTr="00AE009D">
        <w:trPr>
          <w:trHeight w:val="265"/>
        </w:trPr>
        <w:tc>
          <w:tcPr>
            <w:tcW w:w="3929" w:type="dxa"/>
            <w:tcMar>
              <w:top w:w="0" w:type="dxa"/>
              <w:left w:w="108" w:type="dxa"/>
              <w:bottom w:w="0" w:type="dxa"/>
              <w:right w:w="108" w:type="dxa"/>
            </w:tcMar>
            <w:vAlign w:val="center"/>
            <w:hideMark/>
          </w:tcPr>
          <w:p w14:paraId="1DBC747A"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bottom"/>
            <w:hideMark/>
          </w:tcPr>
          <w:p w14:paraId="61CD35AC"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Asia Pacific</w:t>
            </w:r>
          </w:p>
        </w:tc>
        <w:tc>
          <w:tcPr>
            <w:tcW w:w="1343" w:type="dxa"/>
            <w:tcMar>
              <w:top w:w="0" w:type="dxa"/>
              <w:left w:w="108" w:type="dxa"/>
              <w:bottom w:w="0" w:type="dxa"/>
              <w:right w:w="108" w:type="dxa"/>
            </w:tcMar>
            <w:vAlign w:val="bottom"/>
            <w:hideMark/>
          </w:tcPr>
          <w:p w14:paraId="18910105"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UK</w:t>
            </w:r>
          </w:p>
        </w:tc>
        <w:tc>
          <w:tcPr>
            <w:tcW w:w="1343" w:type="dxa"/>
            <w:tcMar>
              <w:top w:w="0" w:type="dxa"/>
              <w:left w:w="108" w:type="dxa"/>
              <w:bottom w:w="0" w:type="dxa"/>
              <w:right w:w="108" w:type="dxa"/>
            </w:tcMar>
            <w:vAlign w:val="bottom"/>
            <w:hideMark/>
          </w:tcPr>
          <w:p w14:paraId="0DE0E81F"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Total</w:t>
            </w:r>
          </w:p>
        </w:tc>
      </w:tr>
      <w:tr w:rsidR="00AE009D" w:rsidRPr="00AE009D" w14:paraId="0EC200B1" w14:textId="77777777" w:rsidTr="00AE009D">
        <w:trPr>
          <w:trHeight w:val="265"/>
        </w:trPr>
        <w:tc>
          <w:tcPr>
            <w:tcW w:w="3929" w:type="dxa"/>
            <w:tcMar>
              <w:top w:w="0" w:type="dxa"/>
              <w:left w:w="108" w:type="dxa"/>
              <w:bottom w:w="0" w:type="dxa"/>
              <w:right w:w="108" w:type="dxa"/>
            </w:tcMar>
            <w:vAlign w:val="center"/>
            <w:hideMark/>
          </w:tcPr>
          <w:p w14:paraId="0F8BFFF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08E8858C"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30 Sept 19</w:t>
            </w:r>
          </w:p>
        </w:tc>
        <w:tc>
          <w:tcPr>
            <w:tcW w:w="1343" w:type="dxa"/>
            <w:tcMar>
              <w:top w:w="0" w:type="dxa"/>
              <w:left w:w="108" w:type="dxa"/>
              <w:bottom w:w="0" w:type="dxa"/>
              <w:right w:w="108" w:type="dxa"/>
            </w:tcMar>
            <w:vAlign w:val="center"/>
            <w:hideMark/>
          </w:tcPr>
          <w:p w14:paraId="5B581044"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30 Sept 19</w:t>
            </w:r>
          </w:p>
        </w:tc>
        <w:tc>
          <w:tcPr>
            <w:tcW w:w="1343" w:type="dxa"/>
            <w:tcMar>
              <w:top w:w="0" w:type="dxa"/>
              <w:left w:w="108" w:type="dxa"/>
              <w:bottom w:w="0" w:type="dxa"/>
              <w:right w:w="108" w:type="dxa"/>
            </w:tcMar>
            <w:vAlign w:val="bottom"/>
            <w:hideMark/>
          </w:tcPr>
          <w:p w14:paraId="5C74FAAF"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30 Sept 19</w:t>
            </w:r>
          </w:p>
        </w:tc>
      </w:tr>
      <w:tr w:rsidR="00AE009D" w:rsidRPr="00AE009D" w14:paraId="34CA5215" w14:textId="77777777" w:rsidTr="00AE009D">
        <w:trPr>
          <w:trHeight w:val="265"/>
        </w:trPr>
        <w:tc>
          <w:tcPr>
            <w:tcW w:w="3929" w:type="dxa"/>
            <w:tcMar>
              <w:top w:w="0" w:type="dxa"/>
              <w:left w:w="108" w:type="dxa"/>
              <w:bottom w:w="0" w:type="dxa"/>
              <w:right w:w="108" w:type="dxa"/>
            </w:tcMar>
            <w:vAlign w:val="center"/>
            <w:hideMark/>
          </w:tcPr>
          <w:p w14:paraId="43A1361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1AA57F4E"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c>
          <w:tcPr>
            <w:tcW w:w="1343" w:type="dxa"/>
            <w:tcMar>
              <w:top w:w="0" w:type="dxa"/>
              <w:left w:w="108" w:type="dxa"/>
              <w:bottom w:w="0" w:type="dxa"/>
              <w:right w:w="108" w:type="dxa"/>
            </w:tcMar>
            <w:vAlign w:val="center"/>
            <w:hideMark/>
          </w:tcPr>
          <w:p w14:paraId="5A11907A"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c>
          <w:tcPr>
            <w:tcW w:w="1343" w:type="dxa"/>
            <w:tcMar>
              <w:top w:w="0" w:type="dxa"/>
              <w:left w:w="108" w:type="dxa"/>
              <w:bottom w:w="0" w:type="dxa"/>
              <w:right w:w="108" w:type="dxa"/>
            </w:tcMar>
            <w:vAlign w:val="center"/>
            <w:hideMark/>
          </w:tcPr>
          <w:p w14:paraId="6EE07A8C"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r>
      <w:tr w:rsidR="00AE009D" w:rsidRPr="00AE009D" w14:paraId="3E223E49" w14:textId="77777777" w:rsidTr="00AE009D">
        <w:trPr>
          <w:trHeight w:val="265"/>
        </w:trPr>
        <w:tc>
          <w:tcPr>
            <w:tcW w:w="3929" w:type="dxa"/>
            <w:tcMar>
              <w:top w:w="0" w:type="dxa"/>
              <w:left w:w="108" w:type="dxa"/>
              <w:bottom w:w="0" w:type="dxa"/>
              <w:right w:w="108" w:type="dxa"/>
            </w:tcMar>
            <w:vAlign w:val="center"/>
            <w:hideMark/>
          </w:tcPr>
          <w:p w14:paraId="50BBC7F8"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4EF354DA"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680B0E47"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0B2FA6E4"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66AFAC3" w14:textId="77777777" w:rsidTr="00AE009D">
        <w:trPr>
          <w:trHeight w:val="70"/>
        </w:trPr>
        <w:tc>
          <w:tcPr>
            <w:tcW w:w="3929" w:type="dxa"/>
            <w:tcMar>
              <w:top w:w="0" w:type="dxa"/>
              <w:left w:w="108" w:type="dxa"/>
              <w:bottom w:w="0" w:type="dxa"/>
              <w:right w:w="108" w:type="dxa"/>
            </w:tcMar>
            <w:vAlign w:val="center"/>
            <w:hideMark/>
          </w:tcPr>
          <w:p w14:paraId="42BC5EF8"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Revenue from external customers</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4F9431E0"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884</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034A39CB"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3,883</w:t>
            </w:r>
          </w:p>
        </w:tc>
        <w:tc>
          <w:tcPr>
            <w:tcW w:w="1343" w:type="dxa"/>
            <w:tcMar>
              <w:top w:w="0" w:type="dxa"/>
              <w:left w:w="108" w:type="dxa"/>
              <w:bottom w:w="0" w:type="dxa"/>
              <w:right w:w="108" w:type="dxa"/>
            </w:tcMar>
            <w:vAlign w:val="bottom"/>
            <w:hideMark/>
          </w:tcPr>
          <w:p w14:paraId="5197C4F0"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4,767</w:t>
            </w:r>
          </w:p>
        </w:tc>
      </w:tr>
      <w:tr w:rsidR="00AE009D" w:rsidRPr="00AE009D" w14:paraId="25869D0C" w14:textId="77777777" w:rsidTr="00AE009D">
        <w:trPr>
          <w:trHeight w:val="607"/>
        </w:trPr>
        <w:tc>
          <w:tcPr>
            <w:tcW w:w="3929" w:type="dxa"/>
            <w:tcMar>
              <w:top w:w="0" w:type="dxa"/>
              <w:left w:w="108" w:type="dxa"/>
              <w:bottom w:w="0" w:type="dxa"/>
              <w:right w:w="108" w:type="dxa"/>
            </w:tcMar>
            <w:vAlign w:val="center"/>
            <w:hideMark/>
          </w:tcPr>
          <w:p w14:paraId="1122F7F0"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w:t>
            </w:r>
          </w:p>
          <w:p w14:paraId="058E77A6"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Segment profit/(loss) before tax </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4590DD64"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618A271C"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15</w:t>
            </w:r>
          </w:p>
        </w:tc>
        <w:tc>
          <w:tcPr>
            <w:tcW w:w="1343"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0C0B3896"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12</w:t>
            </w:r>
          </w:p>
        </w:tc>
      </w:tr>
      <w:tr w:rsidR="00AE009D" w:rsidRPr="00AE009D" w14:paraId="06E09AC9" w14:textId="77777777" w:rsidTr="00AE009D">
        <w:trPr>
          <w:trHeight w:val="265"/>
        </w:trPr>
        <w:tc>
          <w:tcPr>
            <w:tcW w:w="3929" w:type="dxa"/>
            <w:tcMar>
              <w:top w:w="0" w:type="dxa"/>
              <w:left w:w="108" w:type="dxa"/>
              <w:bottom w:w="0" w:type="dxa"/>
              <w:right w:w="108" w:type="dxa"/>
            </w:tcMar>
            <w:vAlign w:val="center"/>
            <w:hideMark/>
          </w:tcPr>
          <w:p w14:paraId="3843A4EF"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161B3AEB"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2DB017E6"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579193D1"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6F049B64" w14:textId="77777777" w:rsidTr="00AE009D">
        <w:trPr>
          <w:trHeight w:val="265"/>
        </w:trPr>
        <w:tc>
          <w:tcPr>
            <w:tcW w:w="3929" w:type="dxa"/>
            <w:tcMar>
              <w:top w:w="0" w:type="dxa"/>
              <w:left w:w="108" w:type="dxa"/>
              <w:bottom w:w="0" w:type="dxa"/>
              <w:right w:w="108" w:type="dxa"/>
            </w:tcMar>
            <w:vAlign w:val="center"/>
            <w:hideMark/>
          </w:tcPr>
          <w:p w14:paraId="719ECD0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742CBF10"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73AABF1F" w14:textId="77777777" w:rsidR="00AE009D" w:rsidRPr="00AE009D" w:rsidRDefault="00AE009D" w:rsidP="00AE009D">
            <w:pPr>
              <w:ind w:right="89"/>
              <w:jc w:val="both"/>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78730145"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4A4DE784" w14:textId="77777777" w:rsidTr="00AE009D">
        <w:trPr>
          <w:trHeight w:val="265"/>
        </w:trPr>
        <w:tc>
          <w:tcPr>
            <w:tcW w:w="3929" w:type="dxa"/>
            <w:tcMar>
              <w:top w:w="0" w:type="dxa"/>
              <w:left w:w="108" w:type="dxa"/>
              <w:bottom w:w="0" w:type="dxa"/>
              <w:right w:w="108" w:type="dxa"/>
            </w:tcMar>
            <w:vAlign w:val="center"/>
            <w:hideMark/>
          </w:tcPr>
          <w:p w14:paraId="1ECA37C0"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bottom"/>
            <w:hideMark/>
          </w:tcPr>
          <w:p w14:paraId="4EC9944B"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Asia Pacific</w:t>
            </w:r>
          </w:p>
        </w:tc>
        <w:tc>
          <w:tcPr>
            <w:tcW w:w="1343" w:type="dxa"/>
            <w:tcMar>
              <w:top w:w="0" w:type="dxa"/>
              <w:left w:w="108" w:type="dxa"/>
              <w:bottom w:w="0" w:type="dxa"/>
              <w:right w:w="108" w:type="dxa"/>
            </w:tcMar>
            <w:vAlign w:val="bottom"/>
            <w:hideMark/>
          </w:tcPr>
          <w:p w14:paraId="264AEF64"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UK</w:t>
            </w:r>
          </w:p>
        </w:tc>
        <w:tc>
          <w:tcPr>
            <w:tcW w:w="1343" w:type="dxa"/>
            <w:tcMar>
              <w:top w:w="0" w:type="dxa"/>
              <w:left w:w="108" w:type="dxa"/>
              <w:bottom w:w="0" w:type="dxa"/>
              <w:right w:w="108" w:type="dxa"/>
            </w:tcMar>
            <w:vAlign w:val="bottom"/>
            <w:hideMark/>
          </w:tcPr>
          <w:p w14:paraId="23CEA99E"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Total</w:t>
            </w:r>
          </w:p>
        </w:tc>
      </w:tr>
      <w:tr w:rsidR="00AE009D" w:rsidRPr="00AE009D" w14:paraId="1E47FE60" w14:textId="77777777" w:rsidTr="00AE009D">
        <w:trPr>
          <w:trHeight w:val="265"/>
        </w:trPr>
        <w:tc>
          <w:tcPr>
            <w:tcW w:w="3929" w:type="dxa"/>
            <w:tcMar>
              <w:top w:w="0" w:type="dxa"/>
              <w:left w:w="108" w:type="dxa"/>
              <w:bottom w:w="0" w:type="dxa"/>
              <w:right w:w="108" w:type="dxa"/>
            </w:tcMar>
            <w:vAlign w:val="center"/>
            <w:hideMark/>
          </w:tcPr>
          <w:p w14:paraId="29B799FB"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039B02A9"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31 Mar 20</w:t>
            </w:r>
          </w:p>
        </w:tc>
        <w:tc>
          <w:tcPr>
            <w:tcW w:w="1343" w:type="dxa"/>
            <w:tcMar>
              <w:top w:w="0" w:type="dxa"/>
              <w:left w:w="108" w:type="dxa"/>
              <w:bottom w:w="0" w:type="dxa"/>
              <w:right w:w="108" w:type="dxa"/>
            </w:tcMar>
            <w:vAlign w:val="center"/>
            <w:hideMark/>
          </w:tcPr>
          <w:p w14:paraId="6CC1C404"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31 Mar 20</w:t>
            </w:r>
          </w:p>
        </w:tc>
        <w:tc>
          <w:tcPr>
            <w:tcW w:w="1343" w:type="dxa"/>
            <w:tcMar>
              <w:top w:w="0" w:type="dxa"/>
              <w:left w:w="108" w:type="dxa"/>
              <w:bottom w:w="0" w:type="dxa"/>
              <w:right w:w="108" w:type="dxa"/>
            </w:tcMar>
            <w:vAlign w:val="bottom"/>
            <w:hideMark/>
          </w:tcPr>
          <w:p w14:paraId="6089B740"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31 Mar 20</w:t>
            </w:r>
          </w:p>
        </w:tc>
      </w:tr>
      <w:tr w:rsidR="00AE009D" w:rsidRPr="00AE009D" w14:paraId="076C2F8C" w14:textId="77777777" w:rsidTr="00AE009D">
        <w:trPr>
          <w:trHeight w:val="265"/>
        </w:trPr>
        <w:tc>
          <w:tcPr>
            <w:tcW w:w="3929" w:type="dxa"/>
            <w:tcMar>
              <w:top w:w="0" w:type="dxa"/>
              <w:left w:w="108" w:type="dxa"/>
              <w:bottom w:w="0" w:type="dxa"/>
              <w:right w:w="108" w:type="dxa"/>
            </w:tcMar>
            <w:vAlign w:val="center"/>
            <w:hideMark/>
          </w:tcPr>
          <w:p w14:paraId="4AF66079"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68DFD341"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c>
          <w:tcPr>
            <w:tcW w:w="1343" w:type="dxa"/>
            <w:tcMar>
              <w:top w:w="0" w:type="dxa"/>
              <w:left w:w="108" w:type="dxa"/>
              <w:bottom w:w="0" w:type="dxa"/>
              <w:right w:w="108" w:type="dxa"/>
            </w:tcMar>
            <w:vAlign w:val="center"/>
            <w:hideMark/>
          </w:tcPr>
          <w:p w14:paraId="6DB84186"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c>
          <w:tcPr>
            <w:tcW w:w="1343" w:type="dxa"/>
            <w:tcMar>
              <w:top w:w="0" w:type="dxa"/>
              <w:left w:w="108" w:type="dxa"/>
              <w:bottom w:w="0" w:type="dxa"/>
              <w:right w:w="108" w:type="dxa"/>
            </w:tcMar>
            <w:vAlign w:val="center"/>
            <w:hideMark/>
          </w:tcPr>
          <w:p w14:paraId="50B69482"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£'000</w:t>
            </w:r>
          </w:p>
        </w:tc>
      </w:tr>
      <w:tr w:rsidR="00AE009D" w:rsidRPr="00AE009D" w14:paraId="513C0DAD" w14:textId="77777777" w:rsidTr="00AE009D">
        <w:trPr>
          <w:trHeight w:val="265"/>
        </w:trPr>
        <w:tc>
          <w:tcPr>
            <w:tcW w:w="3929" w:type="dxa"/>
            <w:tcMar>
              <w:top w:w="0" w:type="dxa"/>
              <w:left w:w="108" w:type="dxa"/>
              <w:bottom w:w="0" w:type="dxa"/>
              <w:right w:w="108" w:type="dxa"/>
            </w:tcMar>
            <w:vAlign w:val="center"/>
            <w:hideMark/>
          </w:tcPr>
          <w:p w14:paraId="5C68CC0C" w14:textId="77777777" w:rsidR="00AE009D" w:rsidRPr="00AE009D" w:rsidRDefault="00AE009D" w:rsidP="00AE009D">
            <w:pPr>
              <w:ind w:right="89"/>
              <w:rPr>
                <w:rFonts w:ascii="Calibri" w:eastAsia="Times New Roman" w:hAnsi="Calibri" w:cs="Calibri"/>
                <w:lang w:eastAsia="en-GB"/>
              </w:rPr>
            </w:pPr>
            <w:r w:rsidRPr="00AE009D">
              <w:rPr>
                <w:rFonts w:ascii="Calibri" w:eastAsia="Times New Roman" w:hAnsi="Calibri" w:cs="Calibri"/>
                <w:lang w:eastAsia="en-GB"/>
              </w:rPr>
              <w:t> </w:t>
            </w:r>
          </w:p>
        </w:tc>
        <w:tc>
          <w:tcPr>
            <w:tcW w:w="1276" w:type="dxa"/>
            <w:tcMar>
              <w:top w:w="0" w:type="dxa"/>
              <w:left w:w="108" w:type="dxa"/>
              <w:bottom w:w="0" w:type="dxa"/>
              <w:right w:w="108" w:type="dxa"/>
            </w:tcMar>
            <w:vAlign w:val="center"/>
            <w:hideMark/>
          </w:tcPr>
          <w:p w14:paraId="3B68DF6C"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center"/>
            <w:hideMark/>
          </w:tcPr>
          <w:p w14:paraId="414FFDC3"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c>
          <w:tcPr>
            <w:tcW w:w="1343" w:type="dxa"/>
            <w:tcMar>
              <w:top w:w="0" w:type="dxa"/>
              <w:left w:w="108" w:type="dxa"/>
              <w:bottom w:w="0" w:type="dxa"/>
              <w:right w:w="108" w:type="dxa"/>
            </w:tcMar>
            <w:vAlign w:val="bottom"/>
            <w:hideMark/>
          </w:tcPr>
          <w:p w14:paraId="34C6FF47" w14:textId="77777777" w:rsidR="00AE009D" w:rsidRPr="00AE009D" w:rsidRDefault="00AE009D" w:rsidP="00AE009D">
            <w:pPr>
              <w:ind w:right="89"/>
              <w:jc w:val="right"/>
              <w:rPr>
                <w:rFonts w:ascii="Calibri" w:eastAsia="Times New Roman" w:hAnsi="Calibri" w:cs="Calibri"/>
                <w:lang w:eastAsia="en-GB"/>
              </w:rPr>
            </w:pPr>
            <w:r w:rsidRPr="00AE009D">
              <w:rPr>
                <w:rFonts w:ascii="Calibri" w:eastAsia="Times New Roman" w:hAnsi="Calibri" w:cs="Calibri"/>
                <w:lang w:eastAsia="en-GB"/>
              </w:rPr>
              <w:t> </w:t>
            </w:r>
          </w:p>
        </w:tc>
      </w:tr>
      <w:tr w:rsidR="00AE009D" w:rsidRPr="00AE009D" w14:paraId="7D0903A6" w14:textId="77777777" w:rsidTr="00AE009D">
        <w:trPr>
          <w:trHeight w:val="70"/>
        </w:trPr>
        <w:tc>
          <w:tcPr>
            <w:tcW w:w="3929" w:type="dxa"/>
            <w:tcMar>
              <w:top w:w="0" w:type="dxa"/>
              <w:left w:w="108" w:type="dxa"/>
              <w:bottom w:w="0" w:type="dxa"/>
              <w:right w:w="108" w:type="dxa"/>
            </w:tcMar>
            <w:vAlign w:val="center"/>
            <w:hideMark/>
          </w:tcPr>
          <w:p w14:paraId="07E5793F"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Revenue from external customers</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09691FBC"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1,626</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20F32B77"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8,093</w:t>
            </w:r>
          </w:p>
        </w:tc>
        <w:tc>
          <w:tcPr>
            <w:tcW w:w="1343" w:type="dxa"/>
            <w:tcMar>
              <w:top w:w="0" w:type="dxa"/>
              <w:left w:w="108" w:type="dxa"/>
              <w:bottom w:w="0" w:type="dxa"/>
              <w:right w:w="108" w:type="dxa"/>
            </w:tcMar>
            <w:vAlign w:val="bottom"/>
            <w:hideMark/>
          </w:tcPr>
          <w:p w14:paraId="2BD7489A"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9,719</w:t>
            </w:r>
          </w:p>
        </w:tc>
      </w:tr>
      <w:tr w:rsidR="00AE009D" w:rsidRPr="00AE009D" w14:paraId="6738D37E" w14:textId="77777777" w:rsidTr="00AE009D">
        <w:trPr>
          <w:trHeight w:val="607"/>
        </w:trPr>
        <w:tc>
          <w:tcPr>
            <w:tcW w:w="3929" w:type="dxa"/>
            <w:tcMar>
              <w:top w:w="0" w:type="dxa"/>
              <w:left w:w="108" w:type="dxa"/>
              <w:bottom w:w="0" w:type="dxa"/>
              <w:right w:w="108" w:type="dxa"/>
            </w:tcMar>
            <w:vAlign w:val="center"/>
            <w:hideMark/>
          </w:tcPr>
          <w:p w14:paraId="5DDDF0FD"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 </w:t>
            </w:r>
          </w:p>
          <w:p w14:paraId="2672F327" w14:textId="77777777" w:rsidR="00AE009D" w:rsidRPr="00AE009D" w:rsidRDefault="00AE009D" w:rsidP="00AE009D">
            <w:pPr>
              <w:ind w:right="89"/>
              <w:rPr>
                <w:rFonts w:ascii="Calibri" w:eastAsia="Times New Roman" w:hAnsi="Calibri" w:cs="Calibri"/>
                <w:lang w:eastAsia="en-GB"/>
              </w:rPr>
            </w:pPr>
            <w:r w:rsidRPr="00AE009D">
              <w:rPr>
                <w:rFonts w:ascii="Arial" w:eastAsia="Times New Roman" w:hAnsi="Arial" w:cs="Arial"/>
                <w:sz w:val="20"/>
                <w:szCs w:val="20"/>
                <w:lang w:eastAsia="en-GB"/>
              </w:rPr>
              <w:t>Segment profit/(loss) before tax </w:t>
            </w:r>
          </w:p>
        </w:tc>
        <w:tc>
          <w:tcPr>
            <w:tcW w:w="1276" w:type="dxa"/>
            <w:tcBorders>
              <w:top w:val="nil"/>
              <w:left w:val="nil"/>
              <w:bottom w:val="single" w:sz="8" w:space="0" w:color="auto"/>
              <w:right w:val="nil"/>
            </w:tcBorders>
            <w:tcMar>
              <w:top w:w="0" w:type="dxa"/>
              <w:left w:w="108" w:type="dxa"/>
              <w:bottom w:w="0" w:type="dxa"/>
              <w:right w:w="108" w:type="dxa"/>
            </w:tcMar>
            <w:vAlign w:val="bottom"/>
            <w:hideMark/>
          </w:tcPr>
          <w:p w14:paraId="22E6DF75"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100</w:t>
            </w:r>
          </w:p>
        </w:tc>
        <w:tc>
          <w:tcPr>
            <w:tcW w:w="1343" w:type="dxa"/>
            <w:tcBorders>
              <w:top w:val="nil"/>
              <w:left w:val="nil"/>
              <w:bottom w:val="single" w:sz="8" w:space="0" w:color="auto"/>
              <w:right w:val="nil"/>
            </w:tcBorders>
            <w:tcMar>
              <w:top w:w="0" w:type="dxa"/>
              <w:left w:w="108" w:type="dxa"/>
              <w:bottom w:w="0" w:type="dxa"/>
              <w:right w:w="108" w:type="dxa"/>
            </w:tcMar>
            <w:vAlign w:val="bottom"/>
            <w:hideMark/>
          </w:tcPr>
          <w:p w14:paraId="0E175F80"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74</w:t>
            </w:r>
          </w:p>
        </w:tc>
        <w:tc>
          <w:tcPr>
            <w:tcW w:w="1343" w:type="dxa"/>
            <w:tcBorders>
              <w:top w:val="single" w:sz="8" w:space="0" w:color="auto"/>
              <w:left w:val="nil"/>
              <w:bottom w:val="single" w:sz="8" w:space="0" w:color="auto"/>
              <w:right w:val="nil"/>
            </w:tcBorders>
            <w:tcMar>
              <w:top w:w="0" w:type="dxa"/>
              <w:left w:w="108" w:type="dxa"/>
              <w:bottom w:w="0" w:type="dxa"/>
              <w:right w:w="108" w:type="dxa"/>
            </w:tcMar>
            <w:vAlign w:val="bottom"/>
            <w:hideMark/>
          </w:tcPr>
          <w:p w14:paraId="31B77CBB" w14:textId="77777777" w:rsidR="00AE009D" w:rsidRPr="00AE009D" w:rsidRDefault="00AE009D" w:rsidP="00AE009D">
            <w:pPr>
              <w:ind w:right="89"/>
              <w:jc w:val="right"/>
              <w:rPr>
                <w:rFonts w:ascii="Calibri" w:eastAsia="Times New Roman" w:hAnsi="Calibri" w:cs="Calibri"/>
                <w:lang w:eastAsia="en-GB"/>
              </w:rPr>
            </w:pPr>
            <w:r w:rsidRPr="00AE009D">
              <w:rPr>
                <w:rFonts w:ascii="Arial" w:eastAsia="Times New Roman" w:hAnsi="Arial" w:cs="Arial"/>
                <w:sz w:val="20"/>
                <w:szCs w:val="20"/>
                <w:lang w:eastAsia="en-GB"/>
              </w:rPr>
              <w:t>174</w:t>
            </w:r>
          </w:p>
        </w:tc>
      </w:tr>
    </w:tbl>
    <w:p w14:paraId="0A168682" w14:textId="77777777" w:rsidR="00AE009D" w:rsidRPr="00AE009D" w:rsidRDefault="00AE009D" w:rsidP="00AE009D">
      <w:pPr>
        <w:ind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1D32D4C3" w14:textId="77777777" w:rsidR="00AE009D" w:rsidRPr="00AE009D" w:rsidRDefault="00AE009D" w:rsidP="00AE009D">
      <w:pPr>
        <w:ind w:left="-426"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421904C5" w14:textId="77777777" w:rsidR="00AE009D" w:rsidRPr="00AE009D" w:rsidRDefault="00AE009D" w:rsidP="00AE009D">
      <w:pPr>
        <w:ind w:left="-426" w:right="89"/>
        <w:rPr>
          <w:rFonts w:ascii="Calibri" w:eastAsia="Times New Roman" w:hAnsi="Calibri" w:cs="Calibri"/>
          <w:color w:val="000000"/>
          <w:lang w:eastAsia="en-GB"/>
        </w:rPr>
      </w:pPr>
      <w:r w:rsidRPr="00AE009D">
        <w:rPr>
          <w:rFonts w:ascii="Arial" w:eastAsia="Times New Roman" w:hAnsi="Arial" w:cs="Arial"/>
          <w:color w:val="000000"/>
          <w:sz w:val="20"/>
          <w:szCs w:val="20"/>
          <w:lang w:eastAsia="en-GB"/>
        </w:rPr>
        <w:t> </w:t>
      </w:r>
    </w:p>
    <w:p w14:paraId="54D8E1CA"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AE009D">
          <w:rPr>
            <w:rFonts w:ascii="Arial" w:eastAsia="Times New Roman" w:hAnsi="Arial" w:cs="Arial"/>
            <w:color w:val="0000FF"/>
            <w:sz w:val="20"/>
            <w:szCs w:val="20"/>
            <w:u w:val="single"/>
            <w:lang w:eastAsia="en-GB"/>
          </w:rPr>
          <w:t>rns@lseg.com</w:t>
        </w:r>
      </w:hyperlink>
      <w:r w:rsidRPr="00AE009D">
        <w:rPr>
          <w:rFonts w:ascii="Arial" w:eastAsia="Times New Roman" w:hAnsi="Arial" w:cs="Arial"/>
          <w:color w:val="000000"/>
          <w:sz w:val="20"/>
          <w:szCs w:val="20"/>
          <w:lang w:eastAsia="en-GB"/>
        </w:rPr>
        <w:t> or visit </w:t>
      </w:r>
      <w:hyperlink r:id="rId6" w:history="1">
        <w:r w:rsidRPr="00AE009D">
          <w:rPr>
            <w:rFonts w:ascii="Arial" w:eastAsia="Times New Roman" w:hAnsi="Arial" w:cs="Arial"/>
            <w:color w:val="0000FF"/>
            <w:sz w:val="20"/>
            <w:szCs w:val="20"/>
            <w:u w:val="single"/>
            <w:lang w:eastAsia="en-GB"/>
          </w:rPr>
          <w:t>www.rns.com</w:t>
        </w:r>
      </w:hyperlink>
      <w:r w:rsidRPr="00AE009D">
        <w:rPr>
          <w:rFonts w:ascii="Arial" w:eastAsia="Times New Roman" w:hAnsi="Arial" w:cs="Arial"/>
          <w:color w:val="000000"/>
          <w:sz w:val="20"/>
          <w:szCs w:val="20"/>
          <w:lang w:eastAsia="en-GB"/>
        </w:rPr>
        <w:t>.</w:t>
      </w:r>
      <w:r w:rsidRPr="00AE009D">
        <w:rPr>
          <w:rFonts w:ascii="Arial" w:eastAsia="Times New Roman" w:hAnsi="Arial" w:cs="Arial"/>
          <w:color w:val="000000"/>
          <w:sz w:val="20"/>
          <w:szCs w:val="20"/>
          <w:lang w:eastAsia="en-GB"/>
        </w:rPr>
        <w:br/>
      </w:r>
      <w:r w:rsidRPr="00AE009D">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AE009D">
          <w:rPr>
            <w:rFonts w:ascii="Arial" w:eastAsia="Times New Roman" w:hAnsi="Arial" w:cs="Arial"/>
            <w:color w:val="0000FF"/>
            <w:sz w:val="20"/>
            <w:szCs w:val="20"/>
            <w:u w:val="single"/>
            <w:lang w:eastAsia="en-GB"/>
          </w:rPr>
          <w:t>Privacy Policy</w:t>
        </w:r>
      </w:hyperlink>
      <w:r w:rsidRPr="00AE009D">
        <w:rPr>
          <w:rFonts w:ascii="Arial" w:eastAsia="Times New Roman" w:hAnsi="Arial" w:cs="Arial"/>
          <w:color w:val="000000"/>
          <w:sz w:val="20"/>
          <w:szCs w:val="20"/>
          <w:lang w:eastAsia="en-GB"/>
        </w:rPr>
        <w:t>.</w:t>
      </w:r>
    </w:p>
    <w:p w14:paraId="1F5AF5A0"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 </w:t>
      </w:r>
    </w:p>
    <w:p w14:paraId="7F8DBC89" w14:textId="77777777" w:rsidR="00AE009D" w:rsidRPr="00AE009D" w:rsidRDefault="00AE009D" w:rsidP="00AE009D">
      <w:pPr>
        <w:rPr>
          <w:rFonts w:ascii="Arial" w:eastAsia="Times New Roman" w:hAnsi="Arial" w:cs="Arial"/>
          <w:color w:val="000000"/>
          <w:sz w:val="20"/>
          <w:szCs w:val="20"/>
          <w:lang w:eastAsia="en-GB"/>
        </w:rPr>
      </w:pPr>
      <w:r w:rsidRPr="00AE009D">
        <w:rPr>
          <w:rFonts w:ascii="Arial" w:eastAsia="Times New Roman" w:hAnsi="Arial" w:cs="Arial"/>
          <w:color w:val="000000"/>
          <w:sz w:val="20"/>
          <w:szCs w:val="20"/>
          <w:lang w:eastAsia="en-GB"/>
        </w:rPr>
        <w:t>END</w:t>
      </w:r>
    </w:p>
    <w:p w14:paraId="7B86C38F" w14:textId="77777777" w:rsidR="00AE009D" w:rsidRPr="00AE009D" w:rsidRDefault="00AE009D" w:rsidP="00AE009D">
      <w:pPr>
        <w:rPr>
          <w:rFonts w:ascii="-webkit-standard" w:eastAsia="Times New Roman" w:hAnsi="-webkit-standard" w:cs="Times New Roman"/>
          <w:color w:val="000000"/>
          <w:lang w:eastAsia="en-GB"/>
        </w:rPr>
      </w:pPr>
      <w:r w:rsidRPr="00AE009D">
        <w:rPr>
          <w:rFonts w:ascii="-webkit-standard" w:eastAsia="Times New Roman" w:hAnsi="-webkit-standard" w:cs="Times New Roman"/>
          <w:color w:val="000000"/>
          <w:lang w:eastAsia="en-GB"/>
        </w:rPr>
        <w:t> </w:t>
      </w:r>
    </w:p>
    <w:p w14:paraId="7C094573" w14:textId="77777777" w:rsidR="00AE009D" w:rsidRPr="00AE009D" w:rsidRDefault="00AE009D" w:rsidP="00AE009D">
      <w:pPr>
        <w:rPr>
          <w:rFonts w:ascii="-webkit-standard" w:eastAsia="Times New Roman" w:hAnsi="-webkit-standard" w:cs="Times New Roman"/>
          <w:color w:val="000000"/>
          <w:lang w:eastAsia="en-GB"/>
        </w:rPr>
      </w:pPr>
      <w:r w:rsidRPr="00AE009D">
        <w:rPr>
          <w:rFonts w:ascii="-webkit-standard" w:eastAsia="Times New Roman" w:hAnsi="-webkit-standard" w:cs="Times New Roman"/>
          <w:color w:val="000000"/>
          <w:lang w:eastAsia="en-GB"/>
        </w:rPr>
        <w:t> </w:t>
      </w:r>
    </w:p>
    <w:p w14:paraId="2A1331AE" w14:textId="77777777" w:rsidR="00AE009D" w:rsidRDefault="00AE009D"/>
    <w:sectPr w:rsidR="00AE0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9D"/>
    <w:rsid w:val="00AE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6F3222"/>
  <w15:chartTrackingRefBased/>
  <w15:docId w15:val="{395E2C7A-3BB8-8049-B9F4-A3998135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009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009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0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009D"/>
    <w:rPr>
      <w:rFonts w:ascii="Times New Roman" w:eastAsia="Times New Roman" w:hAnsi="Times New Roman" w:cs="Times New Roman"/>
      <w:b/>
      <w:bCs/>
      <w:sz w:val="27"/>
      <w:szCs w:val="27"/>
      <w:lang w:eastAsia="en-GB"/>
    </w:rPr>
  </w:style>
  <w:style w:type="paragraph" w:customStyle="1" w:styleId="msonormal0">
    <w:name w:val="msonormal"/>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c">
    <w:name w:val="pc"/>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pa">
    <w:name w:val="pa"/>
    <w:basedOn w:val="DefaultParagraphFont"/>
    <w:rsid w:val="00AE009D"/>
  </w:style>
  <w:style w:type="paragraph" w:customStyle="1" w:styleId="a">
    <w:name w:val="a"/>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oy">
    <w:name w:val="oy"/>
    <w:basedOn w:val="DefaultParagraphFont"/>
    <w:rsid w:val="00AE009D"/>
  </w:style>
  <w:style w:type="character" w:customStyle="1" w:styleId="apple-converted-space">
    <w:name w:val="apple-converted-space"/>
    <w:basedOn w:val="DefaultParagraphFont"/>
    <w:rsid w:val="00AE009D"/>
  </w:style>
  <w:style w:type="paragraph" w:customStyle="1" w:styleId="pd">
    <w:name w:val="pd"/>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e">
    <w:name w:val="pe"/>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f">
    <w:name w:val="pf"/>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g">
    <w:name w:val="pg"/>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h">
    <w:name w:val="ph"/>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ot">
    <w:name w:val="ot"/>
    <w:basedOn w:val="DefaultParagraphFont"/>
    <w:rsid w:val="00AE009D"/>
  </w:style>
  <w:style w:type="paragraph" w:customStyle="1" w:styleId="pi">
    <w:name w:val="pi"/>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j">
    <w:name w:val="pj"/>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or">
    <w:name w:val="or"/>
    <w:basedOn w:val="DefaultParagraphFont"/>
    <w:rsid w:val="00AE009D"/>
  </w:style>
  <w:style w:type="character" w:customStyle="1" w:styleId="op">
    <w:name w:val="op"/>
    <w:basedOn w:val="DefaultParagraphFont"/>
    <w:rsid w:val="00AE009D"/>
  </w:style>
  <w:style w:type="paragraph" w:customStyle="1" w:styleId="pm">
    <w:name w:val="pm"/>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ny">
    <w:name w:val="ny"/>
    <w:basedOn w:val="DefaultParagraphFont"/>
    <w:rsid w:val="00AE009D"/>
  </w:style>
  <w:style w:type="paragraph" w:customStyle="1" w:styleId="pn">
    <w:name w:val="pn"/>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o">
    <w:name w:val="po"/>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p">
    <w:name w:val="pp"/>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q">
    <w:name w:val="pq"/>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r">
    <w:name w:val="pr"/>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s">
    <w:name w:val="ps"/>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u">
    <w:name w:val="pu"/>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x">
    <w:name w:val="px"/>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y">
    <w:name w:val="py"/>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pz">
    <w:name w:val="pz"/>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a">
    <w:name w:val="qa"/>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c">
    <w:name w:val="qc"/>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d">
    <w:name w:val="qd"/>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e">
    <w:name w:val="qe"/>
    <w:basedOn w:val="Normal"/>
    <w:rsid w:val="00AE009D"/>
    <w:pPr>
      <w:spacing w:before="100" w:beforeAutospacing="1" w:after="100" w:afterAutospacing="1"/>
    </w:pPr>
    <w:rPr>
      <w:rFonts w:ascii="Times New Roman" w:eastAsia="Times New Roman" w:hAnsi="Times New Roman" w:cs="Times New Roman"/>
      <w:lang w:eastAsia="en-GB"/>
    </w:rPr>
  </w:style>
  <w:style w:type="character" w:customStyle="1" w:styleId="cv">
    <w:name w:val="cv"/>
    <w:basedOn w:val="DefaultParagraphFont"/>
    <w:rsid w:val="00AE009D"/>
  </w:style>
  <w:style w:type="character" w:customStyle="1" w:styleId="ct">
    <w:name w:val="ct"/>
    <w:basedOn w:val="DefaultParagraphFont"/>
    <w:rsid w:val="00AE009D"/>
  </w:style>
  <w:style w:type="character" w:customStyle="1" w:styleId="cs">
    <w:name w:val="cs"/>
    <w:basedOn w:val="DefaultParagraphFont"/>
    <w:rsid w:val="00AE009D"/>
  </w:style>
  <w:style w:type="paragraph" w:customStyle="1" w:styleId="qf">
    <w:name w:val="qf"/>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g">
    <w:name w:val="qg"/>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i">
    <w:name w:val="qi"/>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j">
    <w:name w:val="qj"/>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k">
    <w:name w:val="qk"/>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m">
    <w:name w:val="qm"/>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n">
    <w:name w:val="qn"/>
    <w:basedOn w:val="Normal"/>
    <w:rsid w:val="00AE009D"/>
    <w:pPr>
      <w:spacing w:before="100" w:beforeAutospacing="1" w:after="100" w:afterAutospacing="1"/>
    </w:pPr>
    <w:rPr>
      <w:rFonts w:ascii="Times New Roman" w:eastAsia="Times New Roman" w:hAnsi="Times New Roman" w:cs="Times New Roman"/>
      <w:lang w:eastAsia="en-GB"/>
    </w:rPr>
  </w:style>
  <w:style w:type="paragraph" w:customStyle="1" w:styleId="qo">
    <w:name w:val="qo"/>
    <w:basedOn w:val="Normal"/>
    <w:rsid w:val="00AE009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E009D"/>
    <w:rPr>
      <w:color w:val="0000FF"/>
      <w:u w:val="single"/>
    </w:rPr>
  </w:style>
  <w:style w:type="character" w:styleId="FollowedHyperlink">
    <w:name w:val="FollowedHyperlink"/>
    <w:basedOn w:val="DefaultParagraphFont"/>
    <w:uiPriority w:val="99"/>
    <w:semiHidden/>
    <w:unhideWhenUsed/>
    <w:rsid w:val="00AE00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84604">
      <w:bodyDiv w:val="1"/>
      <w:marLeft w:val="0"/>
      <w:marRight w:val="0"/>
      <w:marTop w:val="0"/>
      <w:marBottom w:val="0"/>
      <w:divBdr>
        <w:top w:val="none" w:sz="0" w:space="0" w:color="auto"/>
        <w:left w:val="none" w:sz="0" w:space="0" w:color="auto"/>
        <w:bottom w:val="none" w:sz="0" w:space="0" w:color="auto"/>
        <w:right w:val="none" w:sz="0" w:space="0" w:color="auto"/>
      </w:divBdr>
      <w:divsChild>
        <w:div w:id="955211768">
          <w:marLeft w:val="0"/>
          <w:marRight w:val="0"/>
          <w:marTop w:val="0"/>
          <w:marBottom w:val="0"/>
          <w:divBdr>
            <w:top w:val="none" w:sz="0" w:space="0" w:color="auto"/>
            <w:left w:val="none" w:sz="0" w:space="0" w:color="auto"/>
            <w:bottom w:val="none" w:sz="0" w:space="0" w:color="auto"/>
            <w:right w:val="none" w:sz="0" w:space="0" w:color="auto"/>
          </w:divBdr>
          <w:divsChild>
            <w:div w:id="2003200280">
              <w:marLeft w:val="0"/>
              <w:marRight w:val="0"/>
              <w:marTop w:val="0"/>
              <w:marBottom w:val="0"/>
              <w:divBdr>
                <w:top w:val="none" w:sz="0" w:space="0" w:color="auto"/>
                <w:left w:val="none" w:sz="0" w:space="0" w:color="auto"/>
                <w:bottom w:val="none" w:sz="0" w:space="0" w:color="auto"/>
                <w:right w:val="none" w:sz="0" w:space="0" w:color="auto"/>
              </w:divBdr>
            </w:div>
            <w:div w:id="1846703746">
              <w:marLeft w:val="0"/>
              <w:marRight w:val="0"/>
              <w:marTop w:val="0"/>
              <w:marBottom w:val="0"/>
              <w:divBdr>
                <w:top w:val="none" w:sz="0" w:space="0" w:color="auto"/>
                <w:left w:val="none" w:sz="0" w:space="0" w:color="auto"/>
                <w:bottom w:val="none" w:sz="0" w:space="0" w:color="auto"/>
                <w:right w:val="none" w:sz="0" w:space="0" w:color="auto"/>
              </w:divBdr>
            </w:div>
            <w:div w:id="266355160">
              <w:marLeft w:val="0"/>
              <w:marRight w:val="0"/>
              <w:marTop w:val="0"/>
              <w:marBottom w:val="0"/>
              <w:divBdr>
                <w:top w:val="none" w:sz="0" w:space="0" w:color="auto"/>
                <w:left w:val="none" w:sz="0" w:space="0" w:color="auto"/>
                <w:bottom w:val="none" w:sz="0" w:space="0" w:color="auto"/>
                <w:right w:val="none" w:sz="0" w:space="0" w:color="auto"/>
              </w:divBdr>
            </w:div>
            <w:div w:id="318461558">
              <w:marLeft w:val="0"/>
              <w:marRight w:val="0"/>
              <w:marTop w:val="0"/>
              <w:marBottom w:val="0"/>
              <w:divBdr>
                <w:top w:val="none" w:sz="0" w:space="0" w:color="auto"/>
                <w:left w:val="none" w:sz="0" w:space="0" w:color="auto"/>
                <w:bottom w:val="none" w:sz="0" w:space="0" w:color="auto"/>
                <w:right w:val="none" w:sz="0" w:space="0" w:color="auto"/>
              </w:divBdr>
            </w:div>
            <w:div w:id="356661604">
              <w:marLeft w:val="1440"/>
              <w:marRight w:val="1440"/>
              <w:marTop w:val="1440"/>
              <w:marBottom w:val="1440"/>
              <w:divBdr>
                <w:top w:val="none" w:sz="0" w:space="0" w:color="auto"/>
                <w:left w:val="none" w:sz="0" w:space="0" w:color="auto"/>
                <w:bottom w:val="none" w:sz="0" w:space="0" w:color="auto"/>
                <w:right w:val="none" w:sz="0" w:space="0" w:color="auto"/>
              </w:divBdr>
            </w:div>
            <w:div w:id="711463667">
              <w:marLeft w:val="0"/>
              <w:marRight w:val="0"/>
              <w:marTop w:val="0"/>
              <w:marBottom w:val="0"/>
              <w:divBdr>
                <w:top w:val="none" w:sz="0" w:space="0" w:color="auto"/>
                <w:left w:val="none" w:sz="0" w:space="0" w:color="auto"/>
                <w:bottom w:val="none" w:sz="0" w:space="0" w:color="auto"/>
                <w:right w:val="none" w:sz="0" w:space="0" w:color="auto"/>
              </w:divBdr>
            </w:div>
            <w:div w:id="2029601093">
              <w:marLeft w:val="0"/>
              <w:marRight w:val="0"/>
              <w:marTop w:val="0"/>
              <w:marBottom w:val="0"/>
              <w:divBdr>
                <w:top w:val="none" w:sz="0" w:space="0" w:color="auto"/>
                <w:left w:val="none" w:sz="0" w:space="0" w:color="auto"/>
                <w:bottom w:val="none" w:sz="0" w:space="0" w:color="auto"/>
                <w:right w:val="none" w:sz="0" w:space="0" w:color="auto"/>
              </w:divBdr>
            </w:div>
            <w:div w:id="224879665">
              <w:marLeft w:val="0"/>
              <w:marRight w:val="0"/>
              <w:marTop w:val="0"/>
              <w:marBottom w:val="0"/>
              <w:divBdr>
                <w:top w:val="none" w:sz="0" w:space="0" w:color="auto"/>
                <w:left w:val="none" w:sz="0" w:space="0" w:color="auto"/>
                <w:bottom w:val="none" w:sz="0" w:space="0" w:color="auto"/>
                <w:right w:val="none" w:sz="0" w:space="0" w:color="auto"/>
              </w:divBdr>
            </w:div>
            <w:div w:id="1093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2021-01-11T17:02:00Z</dcterms:created>
  <dcterms:modified xsi:type="dcterms:W3CDTF">2021-01-11T17:02:00Z</dcterms:modified>
</cp:coreProperties>
</file>